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3458" w14:textId="380B65F0" w:rsidR="00AD72B3" w:rsidRDefault="001021EF" w:rsidP="00AD72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367DD3" wp14:editId="1C1F281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226560" cy="7181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71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CE58F" w14:textId="318AB3B7" w:rsidR="008F51F6" w:rsidRPr="003C3A13" w:rsidRDefault="001021EF" w:rsidP="008F51F6">
                            <w:pPr>
                              <w:pStyle w:val="Title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Transfer and discharge</w:t>
                            </w:r>
                          </w:p>
                          <w:p w14:paraId="779F6095" w14:textId="7A1F6FB3" w:rsidR="008F51F6" w:rsidRDefault="001021EF" w:rsidP="008F51F6">
                            <w:pPr>
                              <w:pStyle w:val="Subtitle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Medicare/Medicaid Certified</w:t>
                            </w:r>
                          </w:p>
                          <w:p w14:paraId="47BD56FF" w14:textId="54DF6AC3" w:rsidR="001021EF" w:rsidRPr="001021EF" w:rsidRDefault="001021EF" w:rsidP="001021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67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6pt;margin-top:.5pt;width:332.8pt;height:56.5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/h+AEAAM0DAAAOAAAAZHJzL2Uyb0RvYy54bWysU11v2yAUfZ+0/4B4X/yhJE2tOFXXrtOk&#10;rpvU7QdgjGM04DIgsbNfvwt202h7m+YHxPWFc+8597C9GbUiR+G8BFPTYpFTIgyHVpp9Tb9/e3i3&#10;ocQHZlqmwIianoSnN7u3b7aDrUQJPahWOIIgxleDrWkfgq2yzPNeaOYXYIXBZAdOs4Ch22etYwOi&#10;a5WVeb7OBnCtdcCF9/j3fkrSXcLvOsHDl67zIhBVU+wtpNWltYlrttuyau+Y7SWf22D/0IVm0mDR&#10;M9Q9C4wcnPwLSkvuwEMXFhx0Bl0nuUgckE2R/8HmuWdWJC4ojrdnmfz/g+VPx2f71ZEwvocRB5hI&#10;ePsI/IcnBu56Zvbi1jkYesFaLFxEybLB+mq+GqX2lY8gzfAZWhwyOwRIQGPndFQFeRJExwGczqKL&#10;MRCOP5dluV6tMcUxd1Vsis0qlWDVy23rfPgoQJO4qanDoSZ0dnz0IXbDqpcjsZiBB6lUGqwyZKjp&#10;9apcpQsXGS0D+k5JXdNNHr/JCZHkB9Omy4FJNe2xgDIz60h0ohzGZsSDkX0D7Qn5O5j8he8BNz24&#10;X5QM6K2a+p8H5gQl6pNBDa+L5TKaMQXL1VWJgbvMNJcZZjhC1TRQMm3vQjLwxPUWte5kkuG1k7lX&#10;9ExSZ/Z3NOVlnE69vsLdbwAAAP//AwBQSwMEFAAGAAgAAAAhAJDgBw3aAAAABgEAAA8AAABkcnMv&#10;ZG93bnJldi54bWxMj0FPwzAMhe9I/IfISNxYUrRVrDSdEIgriA2QdvMar61onKrJ1vLvMSc4Wc/P&#10;ev5euZl9r840xi6whWxhQBHXwXXcWHjfPd/cgYoJ2WEfmCx8U4RNdXlRYuHCxG903qZGSQjHAi20&#10;KQ2F1rFuyWNchIFYvGMYPSaRY6PdiJOE+17fGpNrjx3LhxYHemyp/tqevIWPl+P+c2lemye/GqYw&#10;G81+ra29vpof7kElmtPfMfziCzpUwnQIJ3ZR9RakSJKtDDHzfJWDOojOlhnoqtT/8asfAAAA//8D&#10;AFBLAQItABQABgAIAAAAIQC2gziS/gAAAOEBAAATAAAAAAAAAAAAAAAAAAAAAABbQ29udGVudF9U&#10;eXBlc10ueG1sUEsBAi0AFAAGAAgAAAAhADj9If/WAAAAlAEAAAsAAAAAAAAAAAAAAAAALwEAAF9y&#10;ZWxzLy5yZWxzUEsBAi0AFAAGAAgAAAAhAC1Ez+H4AQAAzQMAAA4AAAAAAAAAAAAAAAAALgIAAGRy&#10;cy9lMm9Eb2MueG1sUEsBAi0AFAAGAAgAAAAhAJDgBw3aAAAABgEAAA8AAAAAAAAAAAAAAAAAUgQA&#10;AGRycy9kb3ducmV2LnhtbFBLBQYAAAAABAAEAPMAAABZBQAAAAA=&#10;" filled="f" stroked="f">
                <v:textbox>
                  <w:txbxContent>
                    <w:p w14:paraId="281CE58F" w14:textId="318AB3B7" w:rsidR="008F51F6" w:rsidRPr="003C3A13" w:rsidRDefault="001021EF" w:rsidP="008F51F6">
                      <w:pPr>
                        <w:pStyle w:val="Title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Transfer and discharge</w:t>
                      </w:r>
                    </w:p>
                    <w:p w14:paraId="779F6095" w14:textId="7A1F6FB3" w:rsidR="008F51F6" w:rsidRDefault="001021EF" w:rsidP="008F51F6">
                      <w:pPr>
                        <w:pStyle w:val="Subtitle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Medicare/Medicaid Certified</w:t>
                      </w:r>
                    </w:p>
                    <w:p w14:paraId="47BD56FF" w14:textId="54DF6AC3" w:rsidR="001021EF" w:rsidRPr="001021EF" w:rsidRDefault="001021EF" w:rsidP="001021EF"/>
                  </w:txbxContent>
                </v:textbox>
                <w10:wrap type="square" anchorx="margin"/>
              </v:shape>
            </w:pict>
          </mc:Fallback>
        </mc:AlternateContent>
      </w:r>
      <w:r w:rsidR="00821D53">
        <w:rPr>
          <w:noProof/>
        </w:rPr>
        <w:drawing>
          <wp:anchor distT="0" distB="0" distL="114300" distR="114300" simplePos="0" relativeHeight="251658240" behindDoc="0" locked="0" layoutInCell="1" allowOverlap="1" wp14:anchorId="2787B615" wp14:editId="1C60F994">
            <wp:simplePos x="0" y="0"/>
            <wp:positionH relativeFrom="margin">
              <wp:posOffset>0</wp:posOffset>
            </wp:positionH>
            <wp:positionV relativeFrom="paragraph">
              <wp:posOffset>-213170</wp:posOffset>
            </wp:positionV>
            <wp:extent cx="1644812" cy="16440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812" cy="164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D5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37436" wp14:editId="1C896BEA">
                <wp:simplePos x="0" y="0"/>
                <wp:positionH relativeFrom="column">
                  <wp:posOffset>-213756</wp:posOffset>
                </wp:positionH>
                <wp:positionV relativeFrom="paragraph">
                  <wp:posOffset>-261257</wp:posOffset>
                </wp:positionV>
                <wp:extent cx="6362700" cy="1095554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95554"/>
                        </a:xfrm>
                        <a:prstGeom prst="rect">
                          <a:avLst/>
                        </a:prstGeom>
                        <a:solidFill>
                          <a:srgbClr val="01216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1CEA5" id="Rectangle 10" o:spid="_x0000_s1026" style="position:absolute;margin-left:-16.85pt;margin-top:-20.55pt;width:501pt;height:8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2AdQIAAEgFAAAOAAAAZHJzL2Uyb0RvYy54bWysVEtv2zAMvg/YfxB0X21nSboGdYqgRYcB&#10;RRusHXpWZCkWIIuapMTJfv0o+ZGgK3YYloNCmuTHhz7q+ubQaLIXziswJS0uckqE4VApsy3pj5f7&#10;T18o8YGZimkwoqRH4enN8uOH69YuxARq0JVwBEGMX7S2pHUIdpFlnteiYf4CrDBolOAaFlB126xy&#10;rEX0RmeTPJ9nLbjKOuDCe/x61xnpMuFLKXh4ktKLQHRJsbaQTpfOTTyz5TVbbB2zteJ9GewfqmiY&#10;Mph0hLpjgZGdU39ANYo78CDDBYcmAykVF6kH7KbI33TzXDMrUi84HG/HMfn/B8sf98927XAMrfUL&#10;j2Ls4iBdE/+xPnJIwzqOwxKHQDh+nH+eTy5znClHW5FfzWazaRxndgq3zoevAhoShZI6vI00JLZ/&#10;8KFzHVxiNg9aVfdK66S47eZWO7Jn8eaKSTG/6tHP3LJT0UkKRy1isDbfhSSqwjInKWPikxjxGOfC&#10;hKIz1awSXZpZjr8hS2RgjEgdJcCILLG8EbsHGDw7kAG766/3j6Ei0XEMzv9WWBc8RqTMYMIY3CgD&#10;7j0AjV31mTt/LP9sNFHcQHVcO+KgWwZv+b3C+3lgPqyZQ/bjneJGhyc8pIa2pNBLlNTgfr33Pfoj&#10;KdFKSYvbVFL/c8ecoER/M0jXq2I6jeuXlOnscoKKO7dszi1m19wCXnuBb4flSYz+QQ+idNC84uKv&#10;YlY0McMxd0l5cINyG7otx6eDi9UqueHKWRYezLPlETxONfLv5fDKnO1JGpDfjzBsHlu84WrnGyMN&#10;rHYBpEpEPs21nzeuayJO/7TE9+BcT16nB3D5GwAA//8DAFBLAwQUAAYACAAAACEAGRrZb98AAAAL&#10;AQAADwAAAGRycy9kb3ducmV2LnhtbEyPwU6EMBCG7ya+QzMm3nYLC8EVKRti9KC3RRPjbYCRorQl&#10;tMvi2zue9DaT+fLP9xeH1YxiodkPziqItxEIsq3rBtsreH153OxB+IC2w9FZUvBNHg7l5UWBeefO&#10;9khLHXrBIdbnqECHMOVS+laTQb91E1m+fbjZYOB17mU345nDzSh3UZRJg4PlDxonutfUftUno+BZ&#10;0w6zz+jtaUkfsvemPlay0kpdX63VHYhAa/iD4Vef1aFkp8adbOfFqGCTJDeM8pDGMQgmbrN9AqJh&#10;NIlTkGUh/3cofwAAAP//AwBQSwECLQAUAAYACAAAACEAtoM4kv4AAADhAQAAEwAAAAAAAAAAAAAA&#10;AAAAAAAAW0NvbnRlbnRfVHlwZXNdLnhtbFBLAQItABQABgAIAAAAIQA4/SH/1gAAAJQBAAALAAAA&#10;AAAAAAAAAAAAAC8BAABfcmVscy8ucmVsc1BLAQItABQABgAIAAAAIQDpIc2AdQIAAEgFAAAOAAAA&#10;AAAAAAAAAAAAAC4CAABkcnMvZTJvRG9jLnhtbFBLAQItABQABgAIAAAAIQAZGtlv3wAAAAsBAAAP&#10;AAAAAAAAAAAAAAAAAM8EAABkcnMvZG93bnJldi54bWxQSwUGAAAAAAQABADzAAAA2wUAAAAA&#10;" fillcolor="#012169" strokecolor="#001034 [1604]" strokeweight="1pt"/>
            </w:pict>
          </mc:Fallback>
        </mc:AlternateContent>
      </w:r>
    </w:p>
    <w:p w14:paraId="29671C1D" w14:textId="77777777" w:rsidR="00AD72B3" w:rsidRDefault="00AD72B3" w:rsidP="00AD72B3"/>
    <w:p w14:paraId="73AE6005" w14:textId="77777777" w:rsidR="00AD72B3" w:rsidRDefault="00AD72B3" w:rsidP="00AD72B3"/>
    <w:p w14:paraId="03A697B5" w14:textId="77777777" w:rsidR="00AD72B3" w:rsidRDefault="00AD72B3" w:rsidP="00AD72B3"/>
    <w:p w14:paraId="29169FD8" w14:textId="77777777" w:rsidR="00AD72B3" w:rsidRDefault="00AD72B3" w:rsidP="00AD72B3"/>
    <w:p w14:paraId="63FEF7EF" w14:textId="77777777" w:rsidR="00AD72B3" w:rsidRDefault="00AD72B3" w:rsidP="00AD72B3"/>
    <w:p w14:paraId="477A7D31" w14:textId="77777777" w:rsidR="00AD72B3" w:rsidRDefault="00AD72B3" w:rsidP="00AD72B3"/>
    <w:p w14:paraId="412193D2" w14:textId="77777777" w:rsidR="008F51F6" w:rsidRDefault="008F51F6" w:rsidP="008F51F6"/>
    <w:p w14:paraId="63F9AE23" w14:textId="7F40D258" w:rsidR="001021EF" w:rsidRDefault="001021EF" w:rsidP="001021EF">
      <w:pPr>
        <w:pStyle w:val="Heading1"/>
      </w:pPr>
      <w:r>
        <w:t>Skilled Nursing Facilities (SNF) and Intermediate Care Facilities (ICF)</w:t>
      </w:r>
    </w:p>
    <w:p w14:paraId="4B29CA59" w14:textId="5D40D1C7" w:rsidR="001021EF" w:rsidRPr="00C16188" w:rsidRDefault="001021EF" w:rsidP="001021EF">
      <w:pPr>
        <w:rPr>
          <w:rFonts w:cstheme="minorHAnsi"/>
        </w:rPr>
      </w:pPr>
      <w:r w:rsidRPr="0021131F">
        <w:rPr>
          <w:rFonts w:cstheme="minorHAnsi"/>
        </w:rPr>
        <w:t xml:space="preserve">Federal Regulatory Authority: 42 CFR §483.15 Admission, transfer and discharge rights; F627 Rev. </w:t>
      </w:r>
      <w:r w:rsidR="0021131F" w:rsidRPr="0021131F">
        <w:rPr>
          <w:rFonts w:cstheme="minorHAnsi"/>
        </w:rPr>
        <w:t>229</w:t>
      </w:r>
      <w:r w:rsidRPr="0021131F">
        <w:rPr>
          <w:rFonts w:cstheme="minorHAnsi"/>
        </w:rPr>
        <w:t xml:space="preserve">, Issued: </w:t>
      </w:r>
      <w:r w:rsidR="0021131F" w:rsidRPr="0021131F">
        <w:rPr>
          <w:rFonts w:cstheme="minorHAnsi"/>
        </w:rPr>
        <w:t>4</w:t>
      </w:r>
      <w:r w:rsidRPr="0021131F">
        <w:rPr>
          <w:rFonts w:cstheme="minorHAnsi"/>
        </w:rPr>
        <w:t>-2</w:t>
      </w:r>
      <w:r w:rsidR="0021131F" w:rsidRPr="0021131F">
        <w:rPr>
          <w:rFonts w:cstheme="minorHAnsi"/>
        </w:rPr>
        <w:t>5</w:t>
      </w:r>
      <w:r w:rsidRPr="0021131F">
        <w:rPr>
          <w:rFonts w:cstheme="minorHAnsi"/>
        </w:rPr>
        <w:t>-</w:t>
      </w:r>
      <w:r w:rsidR="0021131F" w:rsidRPr="0021131F">
        <w:rPr>
          <w:rFonts w:cstheme="minorHAnsi"/>
        </w:rPr>
        <w:t>25</w:t>
      </w:r>
      <w:r w:rsidRPr="0021131F">
        <w:rPr>
          <w:rFonts w:cstheme="minorHAnsi"/>
        </w:rPr>
        <w:t xml:space="preserve">, Effective </w:t>
      </w:r>
      <w:r w:rsidR="0085655E" w:rsidRPr="0021131F">
        <w:rPr>
          <w:rFonts w:cstheme="minorHAnsi"/>
        </w:rPr>
        <w:t>4</w:t>
      </w:r>
      <w:r w:rsidRPr="0021131F">
        <w:rPr>
          <w:rFonts w:cstheme="minorHAnsi"/>
        </w:rPr>
        <w:t>-2</w:t>
      </w:r>
      <w:r w:rsidR="0085655E" w:rsidRPr="0021131F">
        <w:rPr>
          <w:rFonts w:cstheme="minorHAnsi"/>
        </w:rPr>
        <w:t>8</w:t>
      </w:r>
      <w:r w:rsidRPr="0021131F">
        <w:rPr>
          <w:rFonts w:cstheme="minorHAnsi"/>
        </w:rPr>
        <w:t xml:space="preserve">-25, Implementation </w:t>
      </w:r>
      <w:r w:rsidR="0085655E" w:rsidRPr="0021131F">
        <w:rPr>
          <w:rFonts w:cstheme="minorHAnsi"/>
        </w:rPr>
        <w:t>4</w:t>
      </w:r>
      <w:r w:rsidRPr="0021131F">
        <w:rPr>
          <w:rFonts w:cstheme="minorHAnsi"/>
        </w:rPr>
        <w:t>-2</w:t>
      </w:r>
      <w:r w:rsidR="0085655E" w:rsidRPr="0021131F">
        <w:rPr>
          <w:rFonts w:cstheme="minorHAnsi"/>
        </w:rPr>
        <w:t>8</w:t>
      </w:r>
      <w:r w:rsidRPr="0021131F">
        <w:rPr>
          <w:rFonts w:cstheme="minorHAnsi"/>
        </w:rPr>
        <w:t>-</w:t>
      </w:r>
      <w:r w:rsidR="005513E3" w:rsidRPr="0021131F">
        <w:rPr>
          <w:rFonts w:cstheme="minorHAnsi"/>
        </w:rPr>
        <w:t>2</w:t>
      </w:r>
      <w:r w:rsidRPr="0021131F">
        <w:rPr>
          <w:rFonts w:cstheme="minorHAnsi"/>
        </w:rPr>
        <w:t>5; F62</w:t>
      </w:r>
      <w:r w:rsidR="00265C33" w:rsidRPr="0021131F">
        <w:rPr>
          <w:rFonts w:cstheme="minorHAnsi"/>
        </w:rPr>
        <w:t>8</w:t>
      </w:r>
      <w:r w:rsidRPr="0021131F">
        <w:rPr>
          <w:rFonts w:cstheme="minorHAnsi"/>
        </w:rPr>
        <w:t xml:space="preserve"> Rev. </w:t>
      </w:r>
      <w:r w:rsidR="0021131F" w:rsidRPr="0021131F">
        <w:rPr>
          <w:rFonts w:cstheme="minorHAnsi"/>
        </w:rPr>
        <w:t>229</w:t>
      </w:r>
      <w:r w:rsidRPr="0021131F">
        <w:rPr>
          <w:rFonts w:cstheme="minorHAnsi"/>
        </w:rPr>
        <w:t xml:space="preserve">, Issued: </w:t>
      </w:r>
      <w:r w:rsidR="0021131F" w:rsidRPr="0021131F">
        <w:rPr>
          <w:rFonts w:cstheme="minorHAnsi"/>
        </w:rPr>
        <w:t>4</w:t>
      </w:r>
      <w:r w:rsidRPr="0021131F">
        <w:rPr>
          <w:rFonts w:cstheme="minorHAnsi"/>
        </w:rPr>
        <w:t>-2</w:t>
      </w:r>
      <w:r w:rsidR="0021131F" w:rsidRPr="0021131F">
        <w:rPr>
          <w:rFonts w:cstheme="minorHAnsi"/>
        </w:rPr>
        <w:t>5</w:t>
      </w:r>
      <w:r w:rsidRPr="0021131F">
        <w:rPr>
          <w:rFonts w:cstheme="minorHAnsi"/>
        </w:rPr>
        <w:t>-</w:t>
      </w:r>
      <w:r w:rsidR="0021131F" w:rsidRPr="0021131F">
        <w:rPr>
          <w:rFonts w:cstheme="minorHAnsi"/>
        </w:rPr>
        <w:t>25</w:t>
      </w:r>
      <w:r w:rsidRPr="0021131F">
        <w:rPr>
          <w:rFonts w:cstheme="minorHAnsi"/>
        </w:rPr>
        <w:t xml:space="preserve">, Effective </w:t>
      </w:r>
      <w:r w:rsidR="0085655E" w:rsidRPr="0021131F">
        <w:rPr>
          <w:rFonts w:cstheme="minorHAnsi"/>
        </w:rPr>
        <w:t>4</w:t>
      </w:r>
      <w:r w:rsidRPr="0021131F">
        <w:rPr>
          <w:rFonts w:cstheme="minorHAnsi"/>
        </w:rPr>
        <w:t>-2</w:t>
      </w:r>
      <w:r w:rsidR="0085655E" w:rsidRPr="0021131F">
        <w:rPr>
          <w:rFonts w:cstheme="minorHAnsi"/>
        </w:rPr>
        <w:t>8</w:t>
      </w:r>
      <w:r w:rsidRPr="0021131F">
        <w:rPr>
          <w:rFonts w:cstheme="minorHAnsi"/>
        </w:rPr>
        <w:t>-</w:t>
      </w:r>
      <w:r w:rsidR="00265C33" w:rsidRPr="0021131F">
        <w:rPr>
          <w:rFonts w:cstheme="minorHAnsi"/>
        </w:rPr>
        <w:t>25</w:t>
      </w:r>
      <w:r w:rsidRPr="0021131F">
        <w:rPr>
          <w:rFonts w:cstheme="minorHAnsi"/>
        </w:rPr>
        <w:t xml:space="preserve">, Implementation </w:t>
      </w:r>
      <w:r w:rsidR="0085655E" w:rsidRPr="0021131F">
        <w:rPr>
          <w:rFonts w:cstheme="minorHAnsi"/>
        </w:rPr>
        <w:t>4</w:t>
      </w:r>
      <w:r w:rsidRPr="0021131F">
        <w:rPr>
          <w:rFonts w:cstheme="minorHAnsi"/>
        </w:rPr>
        <w:t>-2</w:t>
      </w:r>
      <w:r w:rsidR="0085655E" w:rsidRPr="0021131F">
        <w:rPr>
          <w:rFonts w:cstheme="minorHAnsi"/>
        </w:rPr>
        <w:t>8</w:t>
      </w:r>
      <w:r w:rsidRPr="0021131F">
        <w:rPr>
          <w:rFonts w:cstheme="minorHAnsi"/>
        </w:rPr>
        <w:t>-</w:t>
      </w:r>
      <w:r w:rsidR="00265C33" w:rsidRPr="0021131F">
        <w:rPr>
          <w:rFonts w:cstheme="minorHAnsi"/>
        </w:rPr>
        <w:t>25</w:t>
      </w:r>
      <w:r w:rsidRPr="0021131F">
        <w:rPr>
          <w:rFonts w:cstheme="minorHAnsi"/>
        </w:rPr>
        <w:t>.</w:t>
      </w:r>
    </w:p>
    <w:p w14:paraId="195FD166" w14:textId="77777777" w:rsidR="001021EF" w:rsidRPr="00C16188" w:rsidRDefault="001021EF" w:rsidP="001021EF">
      <w:pPr>
        <w:rPr>
          <w:rFonts w:cstheme="minorHAnsi"/>
        </w:rPr>
      </w:pPr>
    </w:p>
    <w:p w14:paraId="062DF554" w14:textId="77777777" w:rsidR="001021EF" w:rsidRPr="00C16188" w:rsidRDefault="001021EF" w:rsidP="001021EF">
      <w:pPr>
        <w:rPr>
          <w:rFonts w:cstheme="minorHAnsi"/>
        </w:rPr>
      </w:pPr>
      <w:r w:rsidRPr="00C16188">
        <w:rPr>
          <w:rFonts w:cstheme="minorHAnsi"/>
        </w:rPr>
        <w:t>Note: Notices of transfer and discharge must also comply with State Statute and Regulation:</w:t>
      </w:r>
    </w:p>
    <w:p w14:paraId="29B66797" w14:textId="196C5DB5" w:rsidR="00AD72B3" w:rsidRPr="00A45ADD" w:rsidRDefault="001021EF" w:rsidP="00A45ADD">
      <w:pPr>
        <w:rPr>
          <w:rFonts w:cstheme="minorHAnsi"/>
        </w:rPr>
      </w:pPr>
      <w:r w:rsidRPr="00C16188">
        <w:rPr>
          <w:rFonts w:cstheme="minorHAnsi"/>
        </w:rPr>
        <w:t xml:space="preserve">Section 198.088, </w:t>
      </w:r>
      <w:proofErr w:type="spellStart"/>
      <w:r w:rsidRPr="00C16188">
        <w:rPr>
          <w:rFonts w:cstheme="minorHAnsi"/>
        </w:rPr>
        <w:t>RSMo</w:t>
      </w:r>
      <w:proofErr w:type="spellEnd"/>
      <w:r w:rsidRPr="00C16188">
        <w:rPr>
          <w:rFonts w:cstheme="minorHAnsi"/>
        </w:rPr>
        <w:t xml:space="preserve"> and 19 CSR 30-82.050 Transfer and Discharge Procedures.</w:t>
      </w:r>
    </w:p>
    <w:p w14:paraId="55B0DE5A" w14:textId="77777777" w:rsidR="008F51F6" w:rsidRPr="00C16188" w:rsidRDefault="008F51F6" w:rsidP="008F51F6">
      <w:pPr>
        <w:rPr>
          <w:rFonts w:cstheme="minorHAnsi"/>
          <w:shd w:val="clear" w:color="auto" w:fill="FFFFFF"/>
        </w:rPr>
      </w:pPr>
    </w:p>
    <w:p w14:paraId="4A4E468F" w14:textId="08092E64" w:rsidR="005513E3" w:rsidRDefault="005513E3" w:rsidP="00C16188">
      <w:pPr>
        <w:pStyle w:val="Heading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F627</w:t>
      </w:r>
    </w:p>
    <w:p w14:paraId="1493DDC8" w14:textId="2AE9116D" w:rsidR="001021EF" w:rsidRPr="00C16188" w:rsidRDefault="001021EF" w:rsidP="00C16188">
      <w:pPr>
        <w:pStyle w:val="Heading2"/>
        <w:rPr>
          <w:rFonts w:asciiTheme="majorHAnsi" w:hAnsiTheme="majorHAnsi" w:cstheme="minorHAnsi"/>
        </w:rPr>
      </w:pPr>
      <w:r w:rsidRPr="00C16188">
        <w:rPr>
          <w:rFonts w:asciiTheme="majorHAnsi" w:hAnsiTheme="majorHAnsi" w:cstheme="minorHAnsi"/>
        </w:rPr>
        <w:t>§483.15(c) Transfer and discharge-</w:t>
      </w:r>
    </w:p>
    <w:p w14:paraId="07B00997" w14:textId="77777777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§483.15(c)(1) Facility requirements-</w:t>
      </w:r>
    </w:p>
    <w:p w14:paraId="6E6B0AB8" w14:textId="743CB661" w:rsidR="001021EF" w:rsidRPr="00C16188" w:rsidRDefault="001021EF" w:rsidP="00C16188">
      <w:pPr>
        <w:ind w:left="540" w:hanging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 The facility must permit each resident to remain in the facility, and not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transfer or discharge the resident from the facility unless—</w:t>
      </w:r>
    </w:p>
    <w:p w14:paraId="2961C945" w14:textId="0DD85A1B" w:rsidR="001021EF" w:rsidRPr="00C16188" w:rsidRDefault="001021EF" w:rsidP="00C16188">
      <w:pPr>
        <w:ind w:left="90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(A) The transfer or discharge is necessary for the resident’s welfare and the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 xml:space="preserve">resident’s needs cannot be met in the </w:t>
      </w:r>
      <w:proofErr w:type="gramStart"/>
      <w:r w:rsidRPr="00C16188">
        <w:rPr>
          <w:rFonts w:cstheme="minorHAnsi"/>
          <w:shd w:val="clear" w:color="auto" w:fill="FFFFFF"/>
        </w:rPr>
        <w:t>facility;</w:t>
      </w:r>
      <w:proofErr w:type="gramEnd"/>
    </w:p>
    <w:p w14:paraId="5A087F67" w14:textId="5095DC1C" w:rsidR="001021EF" w:rsidRPr="00C16188" w:rsidRDefault="001021EF" w:rsidP="00C16188">
      <w:pPr>
        <w:ind w:left="90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 xml:space="preserve">(B) The transfer or discharge is appropriate because the </w:t>
      </w:r>
      <w:proofErr w:type="spellStart"/>
      <w:r w:rsidRPr="00C16188">
        <w:rPr>
          <w:rFonts w:cstheme="minorHAnsi"/>
          <w:shd w:val="clear" w:color="auto" w:fill="FFFFFF"/>
        </w:rPr>
        <w:t>resident’s</w:t>
      </w:r>
      <w:proofErr w:type="spellEnd"/>
      <w:r w:rsidRPr="00C16188">
        <w:rPr>
          <w:rFonts w:cstheme="minorHAnsi"/>
          <w:shd w:val="clear" w:color="auto" w:fill="FFFFFF"/>
        </w:rPr>
        <w:t xml:space="preserve"> health has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improved sufficiently so the resident no longer needs the services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 xml:space="preserve">provided by the </w:t>
      </w:r>
      <w:proofErr w:type="gramStart"/>
      <w:r w:rsidRPr="00C16188">
        <w:rPr>
          <w:rFonts w:cstheme="minorHAnsi"/>
          <w:shd w:val="clear" w:color="auto" w:fill="FFFFFF"/>
        </w:rPr>
        <w:t>facility;</w:t>
      </w:r>
      <w:proofErr w:type="gramEnd"/>
    </w:p>
    <w:p w14:paraId="625686F8" w14:textId="3B09E8F2" w:rsidR="001021EF" w:rsidRPr="00C16188" w:rsidRDefault="001021EF" w:rsidP="00C16188">
      <w:pPr>
        <w:ind w:left="90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(C) The safety of individuals in the facility is endangered due to the clinical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 xml:space="preserve">or behavioral status of the </w:t>
      </w:r>
      <w:proofErr w:type="gramStart"/>
      <w:r w:rsidRPr="00C16188">
        <w:rPr>
          <w:rFonts w:cstheme="minorHAnsi"/>
          <w:shd w:val="clear" w:color="auto" w:fill="FFFFFF"/>
        </w:rPr>
        <w:t>resident;</w:t>
      </w:r>
      <w:proofErr w:type="gramEnd"/>
    </w:p>
    <w:p w14:paraId="2C84C69D" w14:textId="77777777" w:rsidR="001021EF" w:rsidRPr="00C16188" w:rsidRDefault="001021EF" w:rsidP="00C16188">
      <w:pPr>
        <w:ind w:left="90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 xml:space="preserve">(D) The health of individuals in the facility would otherwise be </w:t>
      </w:r>
      <w:proofErr w:type="gramStart"/>
      <w:r w:rsidRPr="00C16188">
        <w:rPr>
          <w:rFonts w:cstheme="minorHAnsi"/>
          <w:shd w:val="clear" w:color="auto" w:fill="FFFFFF"/>
        </w:rPr>
        <w:t>endangered;</w:t>
      </w:r>
      <w:proofErr w:type="gramEnd"/>
    </w:p>
    <w:p w14:paraId="596B6507" w14:textId="1029AB55" w:rsidR="001021EF" w:rsidRPr="00C16188" w:rsidRDefault="001021EF" w:rsidP="00A4156B">
      <w:pPr>
        <w:ind w:left="90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(E) The resident has failed, after reasonable and appropriate notice, to pay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for (or to have paid under Medicare or Medicaid) a stay at the facility.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Nonpayment applies if the resident does not submit the necessary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paperwork for third party payment or after the third party, including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Medicare or Medicaid, denies the claim and the resident refuses to pay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for his or her stay. For a resident who becomes eligible for Medicaid after</w:t>
      </w:r>
      <w:r w:rsidR="00C16188" w:rsidRPr="00C16188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admission to a facility, the facility may charge a resident only allowable</w:t>
      </w:r>
      <w:r w:rsidR="00A4156B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charges under Medicaid; or</w:t>
      </w:r>
    </w:p>
    <w:p w14:paraId="080FB5F5" w14:textId="77777777" w:rsidR="001021EF" w:rsidRPr="00C16188" w:rsidRDefault="001021EF" w:rsidP="00C16188">
      <w:pPr>
        <w:ind w:left="90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(F) The facility ceases to operate.</w:t>
      </w:r>
    </w:p>
    <w:p w14:paraId="56EA6F25" w14:textId="173DE669" w:rsidR="001021EF" w:rsidRDefault="001021EF" w:rsidP="00016D10">
      <w:pPr>
        <w:ind w:left="540" w:hanging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(ii) The facility may not transfer or discharge the resident while the appeal is</w:t>
      </w:r>
      <w:r w:rsidR="00016D10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pending, pursuant to § 431.230 of this chapter, when a resident exercises his</w:t>
      </w:r>
      <w:r w:rsidR="00016D10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or her right to appeal a transfer or discharge notice from the facility</w:t>
      </w:r>
      <w:r w:rsidR="00016D10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pursuant to § 431.220(a)(3) of this chapter, unless the failure to discharge or</w:t>
      </w:r>
      <w:r w:rsidR="00016D10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transfer would endanger the health or safety of the resident or other</w:t>
      </w:r>
      <w:r w:rsidR="00016D10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individuals in the facility. The facility must document the danger that failure</w:t>
      </w:r>
      <w:r w:rsidR="00016D10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 xml:space="preserve">to </w:t>
      </w:r>
      <w:proofErr w:type="gramStart"/>
      <w:r w:rsidRPr="00C16188">
        <w:rPr>
          <w:rFonts w:cstheme="minorHAnsi"/>
          <w:shd w:val="clear" w:color="auto" w:fill="FFFFFF"/>
        </w:rPr>
        <w:t>transfer</w:t>
      </w:r>
      <w:proofErr w:type="gramEnd"/>
      <w:r w:rsidRPr="00C16188">
        <w:rPr>
          <w:rFonts w:cstheme="minorHAnsi"/>
          <w:shd w:val="clear" w:color="auto" w:fill="FFFFFF"/>
        </w:rPr>
        <w:t xml:space="preserve"> or discharge would pose.</w:t>
      </w:r>
    </w:p>
    <w:p w14:paraId="4E5A5A8D" w14:textId="77777777" w:rsidR="00C16188" w:rsidRPr="00C16188" w:rsidRDefault="00C16188" w:rsidP="00C16188">
      <w:pPr>
        <w:ind w:left="990" w:hanging="450"/>
        <w:rPr>
          <w:rFonts w:cstheme="minorHAnsi"/>
          <w:shd w:val="clear" w:color="auto" w:fill="FFFFFF"/>
        </w:rPr>
      </w:pPr>
    </w:p>
    <w:p w14:paraId="7AB6C670" w14:textId="77777777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§483.15(c)(2) Documentation.</w:t>
      </w:r>
    </w:p>
    <w:p w14:paraId="2795252F" w14:textId="0B2F34E0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When the facility transfers or discharges a resident under any of the circumstances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specified in paragraphs (c)(1)(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)(A) through (F) of this section, the facility must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ensure that the transfer or discharge is documented in the resident’s medical record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and appropriate information is communicated to the receiving health care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institution or provider.</w:t>
      </w:r>
    </w:p>
    <w:p w14:paraId="1FC03BD7" w14:textId="77777777" w:rsidR="001021EF" w:rsidRPr="00C16188" w:rsidRDefault="001021EF" w:rsidP="00C16188">
      <w:pPr>
        <w:ind w:left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 Documentation in the resident’s medical record must include:</w:t>
      </w:r>
    </w:p>
    <w:p w14:paraId="2CC470B0" w14:textId="77777777" w:rsidR="001021EF" w:rsidRPr="00C16188" w:rsidRDefault="001021EF" w:rsidP="00C16188">
      <w:pPr>
        <w:ind w:left="45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(A) The basis for the transfer per paragraph (c)(1)(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 of this section.</w:t>
      </w:r>
    </w:p>
    <w:p w14:paraId="0E86D454" w14:textId="66E73A3F" w:rsidR="001021EF" w:rsidRPr="00C16188" w:rsidRDefault="001021EF" w:rsidP="00C64742">
      <w:pPr>
        <w:ind w:left="81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(B) In the case of paragraph (c)(1)(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)(A) of this section, the specific resident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need(s) that cannot be met, facility attempts to meet the resident needs,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and the service available at the receiving facility to meet the need(s).</w:t>
      </w:r>
    </w:p>
    <w:p w14:paraId="658C6332" w14:textId="77777777" w:rsidR="001021EF" w:rsidRPr="00C16188" w:rsidRDefault="001021EF" w:rsidP="00C64742">
      <w:pPr>
        <w:ind w:left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lastRenderedPageBreak/>
        <w:t>(ii) The documentation required by paragraph (c)(2)(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 of this section must be</w:t>
      </w:r>
    </w:p>
    <w:p w14:paraId="55C65658" w14:textId="77777777" w:rsidR="001021EF" w:rsidRPr="00C16188" w:rsidRDefault="001021EF" w:rsidP="00C64742">
      <w:pPr>
        <w:ind w:left="54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made by—</w:t>
      </w:r>
    </w:p>
    <w:p w14:paraId="448FDAF2" w14:textId="5B6295FF" w:rsidR="001021EF" w:rsidRPr="00C16188" w:rsidRDefault="001021EF" w:rsidP="00C64742">
      <w:pPr>
        <w:ind w:left="801" w:hanging="351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(A) The resident’s physician when transfer or discharge is necessary under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paragraph (c) (1) (A) or (B) of this section; and</w:t>
      </w:r>
    </w:p>
    <w:p w14:paraId="7336A7AC" w14:textId="460C14A1" w:rsidR="001021EF" w:rsidRPr="00C16188" w:rsidRDefault="001021EF" w:rsidP="00C64742">
      <w:pPr>
        <w:ind w:left="801" w:hanging="351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(B) A physician when transfer or discharge is necessary under paragraph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(c)(1)(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)(C) or (D) of this section.</w:t>
      </w:r>
    </w:p>
    <w:p w14:paraId="495CFFC7" w14:textId="77777777" w:rsidR="00C64742" w:rsidRDefault="00C64742" w:rsidP="001021EF">
      <w:pPr>
        <w:rPr>
          <w:rFonts w:cstheme="minorHAnsi"/>
          <w:shd w:val="clear" w:color="auto" w:fill="FFFFFF"/>
        </w:rPr>
      </w:pPr>
    </w:p>
    <w:p w14:paraId="12CB71C4" w14:textId="58803423" w:rsidR="001021EF" w:rsidRPr="00C64742" w:rsidRDefault="001021EF" w:rsidP="001021EF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C64742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§483.15(c)(7) Orientation for transfer or discharge.</w:t>
      </w:r>
    </w:p>
    <w:p w14:paraId="67CAC6D4" w14:textId="0DC71ADA" w:rsidR="001021EF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A facility must provide and document sufficient preparation and orientation to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residents to ensure safe and orderly transfer or discharge from the facility. This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orientation must be provided in a form and manner that the resident can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understand.</w:t>
      </w:r>
    </w:p>
    <w:p w14:paraId="6EFB1E0D" w14:textId="77777777" w:rsidR="00C64742" w:rsidRPr="00C16188" w:rsidRDefault="00C64742" w:rsidP="001021EF">
      <w:pPr>
        <w:rPr>
          <w:rFonts w:cstheme="minorHAnsi"/>
          <w:shd w:val="clear" w:color="auto" w:fill="FFFFFF"/>
        </w:rPr>
      </w:pPr>
    </w:p>
    <w:p w14:paraId="693A97B8" w14:textId="77777777" w:rsidR="001021EF" w:rsidRPr="00C64742" w:rsidRDefault="001021EF" w:rsidP="001021EF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C64742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§483.15(e)(1) Permitting residents to return to facility.</w:t>
      </w:r>
    </w:p>
    <w:p w14:paraId="5D178147" w14:textId="3C5803AC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A facility must establish and follow a written policy on permitting residents to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return to the facility after they are hospitalized or placed on therapeutic leave. The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policy must provide for the following.</w:t>
      </w:r>
    </w:p>
    <w:p w14:paraId="50073EA7" w14:textId="105407DD" w:rsidR="001021EF" w:rsidRPr="00C16188" w:rsidRDefault="001021EF" w:rsidP="00C64742">
      <w:pPr>
        <w:ind w:left="540" w:hanging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 A resident, whose hospitalization or therapeutic leave exceeds the bed-hold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period under the State plan, returns to the facility to their previous room if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available or immediately upon the first availability of a bed in a semi-private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room if the resident—</w:t>
      </w:r>
    </w:p>
    <w:p w14:paraId="0D61449E" w14:textId="77777777" w:rsidR="001021EF" w:rsidRPr="00C16188" w:rsidRDefault="001021EF" w:rsidP="00C64742">
      <w:pPr>
        <w:ind w:left="45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(A) Requires the services provided by the facility; and</w:t>
      </w:r>
    </w:p>
    <w:p w14:paraId="6A62C51B" w14:textId="5B4FDE24" w:rsidR="001021EF" w:rsidRPr="00C16188" w:rsidRDefault="001021EF" w:rsidP="00C64742">
      <w:pPr>
        <w:ind w:left="45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(B) Is eligible for Medicare skilled nursing facility services or Medicaid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nursing facility services.</w:t>
      </w:r>
    </w:p>
    <w:p w14:paraId="552BB3FA" w14:textId="0339CC1D" w:rsidR="001021EF" w:rsidRPr="00C16188" w:rsidRDefault="001021EF" w:rsidP="00ED2851">
      <w:pPr>
        <w:ind w:left="540" w:hanging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(ii) If the facility that determines that a resident who was transferred with an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expectation of returning to the facility, cannot return to the facility, the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facility must comply with the requirements of paragraph (c) as they apply to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discharges.</w:t>
      </w:r>
    </w:p>
    <w:p w14:paraId="1A6C8A33" w14:textId="77777777" w:rsidR="00C64742" w:rsidRDefault="00C64742" w:rsidP="001021EF">
      <w:pPr>
        <w:rPr>
          <w:rFonts w:cstheme="minorHAnsi"/>
          <w:shd w:val="clear" w:color="auto" w:fill="FFFFFF"/>
        </w:rPr>
      </w:pPr>
    </w:p>
    <w:p w14:paraId="5260B1CE" w14:textId="4EBBEC7E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§483.15(e)(2) Readmission to a composite distinct part. When the facility to which a</w:t>
      </w:r>
      <w:r w:rsidR="00C64742">
        <w:rPr>
          <w:rFonts w:cstheme="minorHAnsi"/>
          <w:shd w:val="clear" w:color="auto" w:fill="FFFFFF"/>
        </w:rPr>
        <w:t xml:space="preserve"> </w:t>
      </w:r>
      <w:proofErr w:type="gramStart"/>
      <w:r w:rsidRPr="00C16188">
        <w:rPr>
          <w:rFonts w:cstheme="minorHAnsi"/>
          <w:shd w:val="clear" w:color="auto" w:fill="FFFFFF"/>
        </w:rPr>
        <w:t>resident returns</w:t>
      </w:r>
      <w:proofErr w:type="gramEnd"/>
      <w:r w:rsidRPr="00C16188">
        <w:rPr>
          <w:rFonts w:cstheme="minorHAnsi"/>
          <w:shd w:val="clear" w:color="auto" w:fill="FFFFFF"/>
        </w:rPr>
        <w:t xml:space="preserve"> is a composite distinct part (as defined in § 483.5), the resident must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be permitted to return to an available bed in the particular location of the composite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distinct part in which he or she resided previously. If a bed is not available in that</w:t>
      </w:r>
      <w:r w:rsidR="00C64742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location at the time of return, the resident must be given the option to return to that</w:t>
      </w:r>
    </w:p>
    <w:p w14:paraId="6291FB7C" w14:textId="77777777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location upon the first availability of a bed there.</w:t>
      </w:r>
    </w:p>
    <w:p w14:paraId="4CA6F507" w14:textId="77777777" w:rsidR="00C64742" w:rsidRDefault="00C64742" w:rsidP="001021EF">
      <w:pPr>
        <w:rPr>
          <w:rFonts w:cstheme="minorHAnsi"/>
          <w:shd w:val="clear" w:color="auto" w:fill="FFFFFF"/>
        </w:rPr>
      </w:pPr>
    </w:p>
    <w:p w14:paraId="1569A11C" w14:textId="50FE73A2" w:rsidR="001021EF" w:rsidRPr="00ED2851" w:rsidRDefault="001021EF" w:rsidP="001021EF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ED2851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§483.21(c)(1) Discharge Planning Process</w:t>
      </w:r>
    </w:p>
    <w:p w14:paraId="5C8D1122" w14:textId="4064F8DE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The facility must develop and implement an effective discharge planning process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that focuses on the resident’s discharge goals, the preparation of residents to be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active partners and effectively transition them to post-discharge care, and the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reduction of factors leading to preventable readmissions. The facility’s discharge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planning process must be consistent with the discharge rights set forth at 483.15(b)</w:t>
      </w:r>
    </w:p>
    <w:p w14:paraId="2AD72A0F" w14:textId="77777777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as applicable and—</w:t>
      </w:r>
    </w:p>
    <w:p w14:paraId="7B34317D" w14:textId="42597638" w:rsidR="001021EF" w:rsidRPr="00C16188" w:rsidRDefault="001021EF" w:rsidP="00A45ADD">
      <w:pPr>
        <w:ind w:left="450" w:hanging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</w:t>
      </w:r>
      <w:proofErr w:type="spellStart"/>
      <w:r w:rsidRPr="00C16188">
        <w:rPr>
          <w:rFonts w:cstheme="minorHAnsi"/>
          <w:shd w:val="clear" w:color="auto" w:fill="FFFFFF"/>
        </w:rPr>
        <w:t>i</w:t>
      </w:r>
      <w:proofErr w:type="spellEnd"/>
      <w:r w:rsidRPr="00C16188">
        <w:rPr>
          <w:rFonts w:cstheme="minorHAnsi"/>
          <w:shd w:val="clear" w:color="auto" w:fill="FFFFFF"/>
        </w:rPr>
        <w:t>) Ensure that the discharge needs of each resident are identified and result in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the development of a discharge plan for each resident.</w:t>
      </w:r>
    </w:p>
    <w:p w14:paraId="27A896AD" w14:textId="4D0B4F69" w:rsidR="001021EF" w:rsidRPr="00C16188" w:rsidRDefault="001021EF" w:rsidP="00A45ADD">
      <w:pPr>
        <w:ind w:left="450" w:hanging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(ii) Include regular re-evaluation of residents to identify changes that require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modification of the discharge plan. The discharge plan must be updated, as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needed, to reflect these changes.</w:t>
      </w:r>
    </w:p>
    <w:p w14:paraId="38E31D7B" w14:textId="7DAF9D24" w:rsidR="001021EF" w:rsidRPr="00C16188" w:rsidRDefault="001021EF" w:rsidP="00ED2851">
      <w:pPr>
        <w:tabs>
          <w:tab w:val="left" w:pos="450"/>
        </w:tabs>
        <w:ind w:left="54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(iii) Involve the interdisciplinary team, as defined by §483.21(b)(2)(ii), in the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ongoing process of developing the discharge plan.</w:t>
      </w:r>
    </w:p>
    <w:p w14:paraId="5CBCC2FA" w14:textId="34E1D0FE" w:rsidR="001021EF" w:rsidRPr="00C16188" w:rsidRDefault="001021EF" w:rsidP="00ED2851">
      <w:pPr>
        <w:tabs>
          <w:tab w:val="left" w:pos="450"/>
        </w:tabs>
        <w:ind w:left="54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(iv) Consider caregiver/support person availability and the resident’s or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caregiver’s/support person(s) capacity and capability to perform required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care, as part of the identification of discharge needs.</w:t>
      </w:r>
    </w:p>
    <w:p w14:paraId="3E915110" w14:textId="64986DC7" w:rsidR="001021EF" w:rsidRPr="00C16188" w:rsidRDefault="001021EF" w:rsidP="00A45ADD">
      <w:pPr>
        <w:ind w:left="450" w:hanging="27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(v) Involve the resident and resident representative in the development of the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discharge plan and inform the resident and resident representative of the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final plan.</w:t>
      </w:r>
    </w:p>
    <w:p w14:paraId="67DFAE73" w14:textId="77777777" w:rsidR="001021EF" w:rsidRPr="00C16188" w:rsidRDefault="001021EF" w:rsidP="00ED2851">
      <w:pPr>
        <w:tabs>
          <w:tab w:val="left" w:pos="450"/>
        </w:tabs>
        <w:ind w:left="54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(vi) Address the resident’s goals of care and treatment preferences.</w:t>
      </w:r>
    </w:p>
    <w:p w14:paraId="711D545E" w14:textId="28940041" w:rsidR="001021EF" w:rsidRPr="00C16188" w:rsidRDefault="001021EF" w:rsidP="00ED2851">
      <w:pPr>
        <w:tabs>
          <w:tab w:val="left" w:pos="450"/>
        </w:tabs>
        <w:ind w:left="54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(vii) Document that a resident has been asked about their interest in receiving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information regarding returning to the community.</w:t>
      </w:r>
    </w:p>
    <w:p w14:paraId="5451B55D" w14:textId="52850743" w:rsidR="001021EF" w:rsidRPr="00C16188" w:rsidRDefault="001021EF" w:rsidP="00A45ADD">
      <w:pPr>
        <w:ind w:left="81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(A) If the resident indicates an interest in returning to the community, the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facility must document any referrals to local contact agencies or other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appropriate entities made for this purpose.</w:t>
      </w:r>
    </w:p>
    <w:p w14:paraId="0327CC9B" w14:textId="0F164B6E" w:rsidR="001021EF" w:rsidRPr="00C16188" w:rsidRDefault="001021EF" w:rsidP="00A45ADD">
      <w:pPr>
        <w:ind w:left="81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(B) Facilities must update a resident’s comprehensive care plan and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discharge plan, as appropriate, in response to information received from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referrals to local contact agencies or other appropriate entities.</w:t>
      </w:r>
    </w:p>
    <w:p w14:paraId="593C03FA" w14:textId="0BE23840" w:rsidR="001021EF" w:rsidRPr="00C16188" w:rsidRDefault="001021EF" w:rsidP="00A45ADD">
      <w:pPr>
        <w:ind w:left="81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lastRenderedPageBreak/>
        <w:t>(C) If discharge to the community is determined to not be feasible, the facility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must document who made the determination and why.</w:t>
      </w:r>
    </w:p>
    <w:p w14:paraId="79324B57" w14:textId="626FFAF3" w:rsidR="001021EF" w:rsidRPr="00C16188" w:rsidRDefault="001021EF" w:rsidP="00A45ADD">
      <w:pPr>
        <w:ind w:left="630" w:hanging="45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(viii) For residents who are transferred to another SNF or who are discharged to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 HHA, IRF, or LTCH, assist residents and their resident representatives in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selecting a post-acute care provider by using data that includes, but is not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limited to SNF, HHA, IRF, or LTCH standardized patient assessment data,</w:t>
      </w:r>
      <w:r w:rsidR="00A45ADD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data on quality measures, and data on resource use to the extent the data is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available. The facility must ensure that the post-acute care standardized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patient assessment data, data on quality measures, and data on resource use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is relevant and applicable to the resident’s goals of care and treatment</w:t>
      </w:r>
      <w:r w:rsidR="00A45ADD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preferences.</w:t>
      </w:r>
    </w:p>
    <w:p w14:paraId="30F8AC09" w14:textId="4B4F433F" w:rsidR="001021EF" w:rsidRPr="00C16188" w:rsidRDefault="001021EF" w:rsidP="00A45ADD">
      <w:pPr>
        <w:ind w:left="63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(ix) Document, complete on a timely basis based on the resident’s needs, and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include in the clinical record, the evaluation of the resident’s discharge needs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and discharge plan. The results of the evaluation must be discussed with the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resident or resident’s representative. All relevant resident information must</w:t>
      </w:r>
      <w:r w:rsidR="00A45ADD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be incorporated into the discharge plan to facilitate its implementation and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to avoid unnecessary delays in the resident’s discharge or transfer.</w:t>
      </w:r>
    </w:p>
    <w:p w14:paraId="7BC02687" w14:textId="77777777" w:rsidR="00ED2851" w:rsidRDefault="00ED2851" w:rsidP="001021EF">
      <w:pPr>
        <w:rPr>
          <w:rFonts w:cstheme="minorHAnsi"/>
          <w:shd w:val="clear" w:color="auto" w:fill="FFFFFF"/>
        </w:rPr>
      </w:pPr>
    </w:p>
    <w:p w14:paraId="4EECAB23" w14:textId="04CB065F" w:rsidR="001021EF" w:rsidRPr="00ED2851" w:rsidRDefault="001021EF" w:rsidP="001021EF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ED2851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§483.21(c)(2) Discharge Summary</w:t>
      </w:r>
    </w:p>
    <w:p w14:paraId="686E3DB2" w14:textId="77777777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When the facility anticipates discharge, a resident must have a discharge summary</w:t>
      </w:r>
    </w:p>
    <w:p w14:paraId="6841C9A7" w14:textId="19373A30" w:rsidR="001021EF" w:rsidRPr="00C16188" w:rsidRDefault="001021EF" w:rsidP="001021EF">
      <w:pPr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 xml:space="preserve">that includes, but is not limited to, the following: </w:t>
      </w:r>
    </w:p>
    <w:p w14:paraId="6C6B5BA3" w14:textId="1485A2A2" w:rsidR="001021EF" w:rsidRPr="00C16188" w:rsidRDefault="001021EF" w:rsidP="00A45ADD">
      <w:pPr>
        <w:ind w:left="630" w:hanging="360"/>
        <w:rPr>
          <w:rFonts w:cstheme="minorHAnsi"/>
          <w:shd w:val="clear" w:color="auto" w:fill="FFFFFF"/>
        </w:rPr>
      </w:pPr>
      <w:r w:rsidRPr="00C16188">
        <w:rPr>
          <w:rFonts w:cstheme="minorHAnsi"/>
          <w:shd w:val="clear" w:color="auto" w:fill="FFFFFF"/>
        </w:rPr>
        <w:t>(iv) A post-discharge plan of care that is developed with the participation of the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resident and, with the resident’s consent, the resident representative(s),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which will assist the resident to adjust to his or her new living environment.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The post-discharge plan of care must indicate where the individual plans to</w:t>
      </w:r>
      <w:r w:rsidR="00A45ADD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reside, any arrangements that have been made for the resident’s follow up</w:t>
      </w:r>
      <w:r w:rsidR="00ED2851">
        <w:rPr>
          <w:rFonts w:cstheme="minorHAnsi"/>
          <w:shd w:val="clear" w:color="auto" w:fill="FFFFFF"/>
        </w:rPr>
        <w:t xml:space="preserve"> </w:t>
      </w:r>
      <w:r w:rsidRPr="00C16188">
        <w:rPr>
          <w:rFonts w:cstheme="minorHAnsi"/>
          <w:shd w:val="clear" w:color="auto" w:fill="FFFFFF"/>
        </w:rPr>
        <w:t>care and any post-discharge medical and non-medical services.</w:t>
      </w:r>
    </w:p>
    <w:p w14:paraId="2D790C47" w14:textId="77777777" w:rsidR="00050705" w:rsidRPr="00C16188" w:rsidRDefault="00050705" w:rsidP="006468C4">
      <w:pPr>
        <w:rPr>
          <w:rFonts w:cstheme="minorHAnsi"/>
        </w:rPr>
      </w:pPr>
    </w:p>
    <w:p w14:paraId="40D4360D" w14:textId="239875B9" w:rsidR="005513E3" w:rsidRDefault="005513E3" w:rsidP="00265C33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F628</w:t>
      </w:r>
    </w:p>
    <w:p w14:paraId="4FE5D81C" w14:textId="27173836" w:rsidR="00265C33" w:rsidRPr="00265C33" w:rsidRDefault="00265C33" w:rsidP="00265C33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265C33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§483.15(c)(2) Documentation.</w:t>
      </w:r>
    </w:p>
    <w:p w14:paraId="29559FE5" w14:textId="157BF9F4" w:rsidR="00265C33" w:rsidRPr="00265C33" w:rsidRDefault="00265C33" w:rsidP="00265C33">
      <w:pPr>
        <w:rPr>
          <w:rFonts w:cstheme="minorHAnsi"/>
        </w:rPr>
      </w:pPr>
      <w:r w:rsidRPr="00265C33">
        <w:rPr>
          <w:rFonts w:cstheme="minorHAnsi"/>
        </w:rPr>
        <w:t>When the facility transfers or discharges a resident under any of the circumstances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specified in paragraphs (c)(1)(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>)(A) through (F) of this section, the facility must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ensure that the transfer or discharge is documented in the resident’s medical record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and appropriate information is communicated to the receiving health care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institution or provider.</w:t>
      </w:r>
    </w:p>
    <w:p w14:paraId="42D42CC2" w14:textId="7B5C817C" w:rsidR="00265C33" w:rsidRPr="00265C33" w:rsidRDefault="00265C33" w:rsidP="00177D01">
      <w:pPr>
        <w:ind w:left="270"/>
        <w:rPr>
          <w:rFonts w:cstheme="minorHAnsi"/>
        </w:rPr>
      </w:pPr>
      <w:r w:rsidRPr="00265C33">
        <w:rPr>
          <w:rFonts w:cstheme="minorHAnsi"/>
        </w:rPr>
        <w:t>(iii) Information provided to the receiving provider must include a minimum of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the following:</w:t>
      </w:r>
    </w:p>
    <w:p w14:paraId="21859316" w14:textId="0BA5B1C3" w:rsidR="00265C33" w:rsidRPr="00265C33" w:rsidRDefault="00265C33" w:rsidP="00177D01">
      <w:pPr>
        <w:ind w:left="900" w:hanging="270"/>
        <w:rPr>
          <w:rFonts w:cstheme="minorHAnsi"/>
        </w:rPr>
      </w:pPr>
      <w:r w:rsidRPr="00265C33">
        <w:rPr>
          <w:rFonts w:cstheme="minorHAnsi"/>
        </w:rPr>
        <w:t>(A) Contact information of the practitioner responsible for the care of the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resident.</w:t>
      </w:r>
    </w:p>
    <w:p w14:paraId="1C687010" w14:textId="77777777" w:rsidR="00265C33" w:rsidRPr="00265C33" w:rsidRDefault="00265C33" w:rsidP="00177D01">
      <w:pPr>
        <w:ind w:left="900" w:hanging="270"/>
        <w:rPr>
          <w:rFonts w:cstheme="minorHAnsi"/>
        </w:rPr>
      </w:pPr>
      <w:r w:rsidRPr="00265C33">
        <w:rPr>
          <w:rFonts w:cstheme="minorHAnsi"/>
        </w:rPr>
        <w:t>(B) Resident representative information including contact information</w:t>
      </w:r>
    </w:p>
    <w:p w14:paraId="6D9FCAB6" w14:textId="77777777" w:rsidR="00265C33" w:rsidRPr="00265C33" w:rsidRDefault="00265C33" w:rsidP="00177D01">
      <w:pPr>
        <w:ind w:left="900" w:hanging="270"/>
        <w:rPr>
          <w:rFonts w:cstheme="minorHAnsi"/>
        </w:rPr>
      </w:pPr>
      <w:r w:rsidRPr="00265C33">
        <w:rPr>
          <w:rFonts w:cstheme="minorHAnsi"/>
        </w:rPr>
        <w:t>(C) Advance Directive information</w:t>
      </w:r>
    </w:p>
    <w:p w14:paraId="26308B19" w14:textId="77777777" w:rsidR="00265C33" w:rsidRPr="00265C33" w:rsidRDefault="00265C33" w:rsidP="00177D01">
      <w:pPr>
        <w:ind w:left="900" w:hanging="270"/>
        <w:rPr>
          <w:rFonts w:cstheme="minorHAnsi"/>
        </w:rPr>
      </w:pPr>
      <w:r w:rsidRPr="00265C33">
        <w:rPr>
          <w:rFonts w:cstheme="minorHAnsi"/>
        </w:rPr>
        <w:t>(D) All special instructions or precautions for ongoing care, as appropriate.</w:t>
      </w:r>
    </w:p>
    <w:p w14:paraId="2F5515F9" w14:textId="77777777" w:rsidR="00265C33" w:rsidRPr="00265C33" w:rsidRDefault="00265C33" w:rsidP="00177D01">
      <w:pPr>
        <w:ind w:left="900" w:hanging="270"/>
        <w:rPr>
          <w:rFonts w:cstheme="minorHAnsi"/>
        </w:rPr>
      </w:pPr>
      <w:r w:rsidRPr="00265C33">
        <w:rPr>
          <w:rFonts w:cstheme="minorHAnsi"/>
        </w:rPr>
        <w:t xml:space="preserve">(E) Comprehensive care plan </w:t>
      </w:r>
      <w:proofErr w:type="gramStart"/>
      <w:r w:rsidRPr="00265C33">
        <w:rPr>
          <w:rFonts w:cstheme="minorHAnsi"/>
        </w:rPr>
        <w:t>goals;</w:t>
      </w:r>
      <w:proofErr w:type="gramEnd"/>
    </w:p>
    <w:p w14:paraId="6899CAA5" w14:textId="5FD44749" w:rsidR="00265C33" w:rsidRDefault="00265C33" w:rsidP="00A4156B">
      <w:pPr>
        <w:ind w:left="900" w:hanging="270"/>
        <w:rPr>
          <w:rFonts w:cstheme="minorHAnsi"/>
        </w:rPr>
      </w:pPr>
      <w:r w:rsidRPr="00265C33">
        <w:rPr>
          <w:rFonts w:cstheme="minorHAnsi"/>
        </w:rPr>
        <w:t>(F) All other necessary information, including a copy of the resident’s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discharge summary, consistent with §483.21(c)(2) as applicable, and any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other documentation, as applicable, to ensure a safe and effective</w:t>
      </w:r>
      <w:r w:rsidR="00A4156B">
        <w:rPr>
          <w:rFonts w:cstheme="minorHAnsi"/>
        </w:rPr>
        <w:t xml:space="preserve"> </w:t>
      </w:r>
      <w:r w:rsidRPr="00265C33">
        <w:rPr>
          <w:rFonts w:cstheme="minorHAnsi"/>
        </w:rPr>
        <w:t>transition of care.</w:t>
      </w:r>
    </w:p>
    <w:p w14:paraId="5474B12A" w14:textId="77777777" w:rsidR="00265C33" w:rsidRPr="00265C33" w:rsidRDefault="00265C33" w:rsidP="00265C33">
      <w:pPr>
        <w:rPr>
          <w:rFonts w:cstheme="minorHAnsi"/>
        </w:rPr>
      </w:pPr>
    </w:p>
    <w:p w14:paraId="6F0008CF" w14:textId="77777777" w:rsidR="00265C33" w:rsidRPr="00265C33" w:rsidRDefault="00265C33" w:rsidP="00265C33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265C33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§483.15(c)(3) Notice before transfer.</w:t>
      </w:r>
    </w:p>
    <w:p w14:paraId="6F5EEA7A" w14:textId="77777777" w:rsidR="00265C33" w:rsidRPr="00265C33" w:rsidRDefault="00265C33" w:rsidP="00265C33">
      <w:pPr>
        <w:rPr>
          <w:rFonts w:cstheme="minorHAnsi"/>
        </w:rPr>
      </w:pPr>
      <w:r w:rsidRPr="00265C33">
        <w:rPr>
          <w:rFonts w:cstheme="minorHAnsi"/>
        </w:rPr>
        <w:t>Before a facility transfers or discharges a resident, the facility must—</w:t>
      </w:r>
    </w:p>
    <w:p w14:paraId="327E2B4A" w14:textId="0303A72D" w:rsidR="00265C33" w:rsidRPr="00265C33" w:rsidRDefault="00265C33" w:rsidP="00177D01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>) Notify the resident and the resident’s representative(s) of the transfer or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discharge and the reasons for the move in writing and in a language and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manner they understand. The facility must send a copy of the notice to a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representative of the Office of the State Long-Term Care Ombudsman.</w:t>
      </w:r>
    </w:p>
    <w:p w14:paraId="5DF678A6" w14:textId="7D6AD97A" w:rsidR="00265C33" w:rsidRPr="00265C33" w:rsidRDefault="00265C33" w:rsidP="00177D01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(ii) Record the reasons for the transfer or discharge in the resident’s medical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record in accordance with paragraph (c)(2) of this section; and</w:t>
      </w:r>
    </w:p>
    <w:p w14:paraId="537F5AC2" w14:textId="77777777" w:rsidR="00265C33" w:rsidRDefault="00265C33" w:rsidP="00177D01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(iii) Include in the notice the items described in paragraph (c)(5) of this section.</w:t>
      </w:r>
    </w:p>
    <w:p w14:paraId="5D9200A1" w14:textId="77777777" w:rsidR="00265C33" w:rsidRPr="00265C33" w:rsidRDefault="00265C33" w:rsidP="00265C33">
      <w:pPr>
        <w:rPr>
          <w:rFonts w:cstheme="minorHAnsi"/>
        </w:rPr>
      </w:pPr>
    </w:p>
    <w:p w14:paraId="57C9B83D" w14:textId="77777777" w:rsidR="00265C33" w:rsidRPr="00265C33" w:rsidRDefault="00265C33" w:rsidP="00265C33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265C33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§483.15(c)(4) Timing of the notice.</w:t>
      </w:r>
    </w:p>
    <w:p w14:paraId="4EB4016A" w14:textId="09B2CEF7" w:rsidR="00265C33" w:rsidRPr="00265C33" w:rsidRDefault="00265C33" w:rsidP="00177D01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>) Except as specified in paragraphs (c)(4)(ii) and (c)(8) of this section, the notice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of transfer or discharge required under this section must be made by the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facility at least 30 days before the resident is transferred or discharged.</w:t>
      </w:r>
    </w:p>
    <w:p w14:paraId="27D1D984" w14:textId="30FE4273" w:rsidR="00265C33" w:rsidRPr="00265C33" w:rsidRDefault="00265C33" w:rsidP="00177D01">
      <w:pPr>
        <w:ind w:left="540" w:hanging="270"/>
        <w:rPr>
          <w:rFonts w:cstheme="minorHAnsi"/>
        </w:rPr>
      </w:pPr>
      <w:r w:rsidRPr="00265C33">
        <w:rPr>
          <w:rFonts w:cstheme="minorHAnsi"/>
        </w:rPr>
        <w:lastRenderedPageBreak/>
        <w:t>(ii) Notice must be made as soon as practicable before transfer or discharge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when—</w:t>
      </w:r>
    </w:p>
    <w:p w14:paraId="60A5B7D0" w14:textId="578C1D94" w:rsidR="00265C33" w:rsidRPr="00265C33" w:rsidRDefault="00265C33" w:rsidP="00016D10">
      <w:pPr>
        <w:ind w:left="900" w:hanging="360"/>
        <w:rPr>
          <w:rFonts w:cstheme="minorHAnsi"/>
        </w:rPr>
      </w:pPr>
      <w:r w:rsidRPr="00265C33">
        <w:rPr>
          <w:rFonts w:cstheme="minorHAnsi"/>
        </w:rPr>
        <w:t>(A) The safety of individuals in the facility would be endangered under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paragraph (c)(1)(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 xml:space="preserve">)(C) of this </w:t>
      </w:r>
      <w:proofErr w:type="gramStart"/>
      <w:r w:rsidRPr="00265C33">
        <w:rPr>
          <w:rFonts w:cstheme="minorHAnsi"/>
        </w:rPr>
        <w:t>section;</w:t>
      </w:r>
      <w:proofErr w:type="gramEnd"/>
    </w:p>
    <w:p w14:paraId="46F2D6DF" w14:textId="7E7B17A3" w:rsidR="00265C33" w:rsidRPr="00265C33" w:rsidRDefault="00265C33" w:rsidP="00016D10">
      <w:pPr>
        <w:ind w:left="900" w:hanging="360"/>
        <w:rPr>
          <w:rFonts w:cstheme="minorHAnsi"/>
        </w:rPr>
      </w:pPr>
      <w:r w:rsidRPr="00265C33">
        <w:rPr>
          <w:rFonts w:cstheme="minorHAnsi"/>
        </w:rPr>
        <w:t>(B) The health of individuals in the facility would be endangered, under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paragraph (c)(1)(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 xml:space="preserve">)(D) of this </w:t>
      </w:r>
      <w:proofErr w:type="gramStart"/>
      <w:r w:rsidRPr="00265C33">
        <w:rPr>
          <w:rFonts w:cstheme="minorHAnsi"/>
        </w:rPr>
        <w:t>section;</w:t>
      </w:r>
      <w:proofErr w:type="gramEnd"/>
    </w:p>
    <w:p w14:paraId="029EF5A2" w14:textId="5C612FC1" w:rsidR="00265C33" w:rsidRPr="00265C33" w:rsidRDefault="00265C33" w:rsidP="00016D10">
      <w:pPr>
        <w:ind w:left="900" w:hanging="360"/>
        <w:rPr>
          <w:rFonts w:cstheme="minorHAnsi"/>
        </w:rPr>
      </w:pPr>
      <w:r w:rsidRPr="00265C33">
        <w:rPr>
          <w:rFonts w:cstheme="minorHAnsi"/>
        </w:rPr>
        <w:t xml:space="preserve">(C) The </w:t>
      </w:r>
      <w:proofErr w:type="spellStart"/>
      <w:r w:rsidRPr="00265C33">
        <w:rPr>
          <w:rFonts w:cstheme="minorHAnsi"/>
        </w:rPr>
        <w:t>resident’s</w:t>
      </w:r>
      <w:proofErr w:type="spellEnd"/>
      <w:r w:rsidRPr="00265C33">
        <w:rPr>
          <w:rFonts w:cstheme="minorHAnsi"/>
        </w:rPr>
        <w:t xml:space="preserve"> health improves sufficiently to allow a more immediate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transfer or discharge, under paragraph (c)(1)(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 xml:space="preserve">)(B) of this </w:t>
      </w:r>
      <w:proofErr w:type="gramStart"/>
      <w:r w:rsidRPr="00265C33">
        <w:rPr>
          <w:rFonts w:cstheme="minorHAnsi"/>
        </w:rPr>
        <w:t>section;</w:t>
      </w:r>
      <w:proofErr w:type="gramEnd"/>
    </w:p>
    <w:p w14:paraId="2B86FDD8" w14:textId="06C4ECFF" w:rsidR="00265C33" w:rsidRPr="00265C33" w:rsidRDefault="00265C33" w:rsidP="00016D10">
      <w:pPr>
        <w:ind w:left="900" w:hanging="360"/>
        <w:rPr>
          <w:rFonts w:cstheme="minorHAnsi"/>
        </w:rPr>
      </w:pPr>
      <w:r w:rsidRPr="00265C33">
        <w:rPr>
          <w:rFonts w:cstheme="minorHAnsi"/>
        </w:rPr>
        <w:t>(D) An immediate transfer or discharge is required by the resident’s urgent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medical needs, under paragraph (c)(1)(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>)(A) of this section; or</w:t>
      </w:r>
    </w:p>
    <w:p w14:paraId="74C50F66" w14:textId="77777777" w:rsidR="00265C33" w:rsidRPr="00265C33" w:rsidRDefault="00265C33" w:rsidP="00016D10">
      <w:pPr>
        <w:ind w:left="990" w:hanging="450"/>
        <w:rPr>
          <w:rFonts w:cstheme="minorHAnsi"/>
        </w:rPr>
      </w:pPr>
      <w:r w:rsidRPr="00265C33">
        <w:rPr>
          <w:rFonts w:cstheme="minorHAnsi"/>
        </w:rPr>
        <w:t>(E) A resident has not resided in the facility for 30 days.</w:t>
      </w:r>
    </w:p>
    <w:p w14:paraId="1E5663DE" w14:textId="77777777" w:rsidR="00016D10" w:rsidRDefault="00016D10" w:rsidP="00016D10">
      <w:pPr>
        <w:ind w:left="1260" w:hanging="450"/>
        <w:rPr>
          <w:rFonts w:cstheme="minorHAnsi"/>
        </w:rPr>
      </w:pPr>
    </w:p>
    <w:p w14:paraId="21324452" w14:textId="606B6E23" w:rsidR="00265C33" w:rsidRDefault="00265C33" w:rsidP="00016D10">
      <w:pPr>
        <w:rPr>
          <w:rFonts w:cstheme="minorHAnsi"/>
        </w:rPr>
      </w:pPr>
      <w:r w:rsidRPr="00265C33">
        <w:rPr>
          <w:rFonts w:cstheme="minorHAnsi"/>
        </w:rPr>
        <w:t>§483.15(c)(5) Contents of the notice. The written notice specified in paragraph (c)(3)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of this section must include the following:</w:t>
      </w:r>
    </w:p>
    <w:p w14:paraId="390A75C8" w14:textId="77777777" w:rsidR="00016D10" w:rsidRPr="00265C33" w:rsidRDefault="00016D10" w:rsidP="00016D10">
      <w:pPr>
        <w:rPr>
          <w:rFonts w:cstheme="minorHAnsi"/>
        </w:rPr>
      </w:pPr>
    </w:p>
    <w:p w14:paraId="2073CD5D" w14:textId="77777777" w:rsidR="00265C33" w:rsidRPr="00265C33" w:rsidRDefault="00265C33" w:rsidP="00016D10">
      <w:pPr>
        <w:ind w:left="630" w:hanging="360"/>
        <w:rPr>
          <w:rFonts w:cstheme="minorHAnsi"/>
        </w:rPr>
      </w:pPr>
      <w:r w:rsidRPr="00265C33">
        <w:rPr>
          <w:rFonts w:cstheme="minorHAnsi"/>
        </w:rPr>
        <w:t>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 xml:space="preserve">) The reason for transfer or </w:t>
      </w:r>
      <w:proofErr w:type="gramStart"/>
      <w:r w:rsidRPr="00265C33">
        <w:rPr>
          <w:rFonts w:cstheme="minorHAnsi"/>
        </w:rPr>
        <w:t>discharge;</w:t>
      </w:r>
      <w:proofErr w:type="gramEnd"/>
    </w:p>
    <w:p w14:paraId="159A3EE1" w14:textId="77777777" w:rsidR="00265C33" w:rsidRPr="00265C33" w:rsidRDefault="00265C33" w:rsidP="00016D10">
      <w:pPr>
        <w:ind w:left="630" w:hanging="360"/>
        <w:rPr>
          <w:rFonts w:cstheme="minorHAnsi"/>
        </w:rPr>
      </w:pPr>
      <w:r w:rsidRPr="00265C33">
        <w:rPr>
          <w:rFonts w:cstheme="minorHAnsi"/>
        </w:rPr>
        <w:t xml:space="preserve">(ii) The effective date of transfer or </w:t>
      </w:r>
      <w:proofErr w:type="gramStart"/>
      <w:r w:rsidRPr="00265C33">
        <w:rPr>
          <w:rFonts w:cstheme="minorHAnsi"/>
        </w:rPr>
        <w:t>discharge;</w:t>
      </w:r>
      <w:proofErr w:type="gramEnd"/>
    </w:p>
    <w:p w14:paraId="596B0C43" w14:textId="77777777" w:rsidR="00265C33" w:rsidRPr="00265C33" w:rsidRDefault="00265C33" w:rsidP="00016D10">
      <w:pPr>
        <w:ind w:left="630" w:hanging="360"/>
        <w:rPr>
          <w:rFonts w:cstheme="minorHAnsi"/>
        </w:rPr>
      </w:pPr>
      <w:r w:rsidRPr="00265C33">
        <w:rPr>
          <w:rFonts w:cstheme="minorHAnsi"/>
        </w:rPr>
        <w:t xml:space="preserve">(iii) The location to which the resident is transferred or </w:t>
      </w:r>
      <w:proofErr w:type="gramStart"/>
      <w:r w:rsidRPr="00265C33">
        <w:rPr>
          <w:rFonts w:cstheme="minorHAnsi"/>
        </w:rPr>
        <w:t>discharged;</w:t>
      </w:r>
      <w:proofErr w:type="gramEnd"/>
    </w:p>
    <w:p w14:paraId="6AE5D18C" w14:textId="5839759E" w:rsidR="00265C33" w:rsidRPr="00265C33" w:rsidRDefault="00265C33" w:rsidP="00016D10">
      <w:pPr>
        <w:ind w:left="630" w:hanging="360"/>
        <w:rPr>
          <w:rFonts w:cstheme="minorHAnsi"/>
        </w:rPr>
      </w:pPr>
      <w:r w:rsidRPr="00265C33">
        <w:rPr>
          <w:rFonts w:cstheme="minorHAnsi"/>
        </w:rPr>
        <w:t>(iv) A statement of the resident’s appeal rights, including the name, address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(mailing and email), and telephone number of the entity which receives such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requests; and information on how to obtain an appeal form and assistance in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 xml:space="preserve">completing the form and submitting the appeal hearing </w:t>
      </w:r>
      <w:proofErr w:type="gramStart"/>
      <w:r w:rsidRPr="00265C33">
        <w:rPr>
          <w:rFonts w:cstheme="minorHAnsi"/>
        </w:rPr>
        <w:t>request;</w:t>
      </w:r>
      <w:proofErr w:type="gramEnd"/>
    </w:p>
    <w:p w14:paraId="07AFDEDC" w14:textId="5E0867A9" w:rsidR="00265C33" w:rsidRPr="00265C33" w:rsidRDefault="00265C33" w:rsidP="00016D10">
      <w:pPr>
        <w:ind w:left="630" w:hanging="360"/>
        <w:rPr>
          <w:rFonts w:cstheme="minorHAnsi"/>
        </w:rPr>
      </w:pPr>
      <w:r w:rsidRPr="00265C33">
        <w:rPr>
          <w:rFonts w:cstheme="minorHAnsi"/>
        </w:rPr>
        <w:t>(v) The name, address (mailing and email) and telephone number of the Office of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 xml:space="preserve">the State Long-Term Care </w:t>
      </w:r>
      <w:proofErr w:type="gramStart"/>
      <w:r w:rsidRPr="00265C33">
        <w:rPr>
          <w:rFonts w:cstheme="minorHAnsi"/>
        </w:rPr>
        <w:t>Ombudsman;</w:t>
      </w:r>
      <w:proofErr w:type="gramEnd"/>
    </w:p>
    <w:p w14:paraId="626CB8D4" w14:textId="756756DE" w:rsidR="00265C33" w:rsidRPr="00265C33" w:rsidRDefault="00265C33" w:rsidP="00016D10">
      <w:pPr>
        <w:ind w:left="630" w:hanging="360"/>
        <w:rPr>
          <w:rFonts w:cstheme="minorHAnsi"/>
        </w:rPr>
      </w:pPr>
      <w:r w:rsidRPr="00265C33">
        <w:rPr>
          <w:rFonts w:cstheme="minorHAnsi"/>
        </w:rPr>
        <w:t>(vi) For nursing facility residents with intellectual and developmental disabilities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or related disabilities, the mailing and email address and telephone number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of the agency responsible for the protection and advocacy of individuals with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developmental disabilities established under Part C of the Developmental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Disabilities Assistance and Bill of Rights Act of 2000 (Pub. L. 106-402,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codified at 42 U.S.C. 15001 et seq.); and</w:t>
      </w:r>
    </w:p>
    <w:p w14:paraId="15F316D7" w14:textId="5DE941EF" w:rsidR="00265C33" w:rsidRPr="00265C33" w:rsidRDefault="00265C33" w:rsidP="00016D10">
      <w:pPr>
        <w:ind w:left="630" w:hanging="360"/>
        <w:rPr>
          <w:rFonts w:cstheme="minorHAnsi"/>
        </w:rPr>
      </w:pPr>
      <w:r w:rsidRPr="00265C33">
        <w:rPr>
          <w:rFonts w:cstheme="minorHAnsi"/>
        </w:rPr>
        <w:t>(vii) For nursing facility residents with a mental disorder or related disabilities,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the mailing and email address and telephone number of the agency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responsible for the protection and advocacy of individuals with a mental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disorder established under the Protection and Advocacy for Mentally Ill</w:t>
      </w:r>
    </w:p>
    <w:p w14:paraId="29BFF319" w14:textId="77777777" w:rsidR="00265C33" w:rsidRDefault="00265C33" w:rsidP="00016D10">
      <w:pPr>
        <w:ind w:left="990" w:hanging="360"/>
        <w:rPr>
          <w:rFonts w:cstheme="minorHAnsi"/>
        </w:rPr>
      </w:pPr>
      <w:r w:rsidRPr="00265C33">
        <w:rPr>
          <w:rFonts w:cstheme="minorHAnsi"/>
        </w:rPr>
        <w:t>Individuals Act.</w:t>
      </w:r>
    </w:p>
    <w:p w14:paraId="2283C17A" w14:textId="77777777" w:rsidR="00016D10" w:rsidRPr="00265C33" w:rsidRDefault="00016D10" w:rsidP="00016D10">
      <w:pPr>
        <w:ind w:left="990" w:hanging="360"/>
        <w:rPr>
          <w:rFonts w:cstheme="minorHAnsi"/>
        </w:rPr>
      </w:pPr>
    </w:p>
    <w:p w14:paraId="43DDDA60" w14:textId="77777777" w:rsidR="00265C33" w:rsidRPr="00016D10" w:rsidRDefault="00265C33" w:rsidP="00265C33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016D10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§483.15(c)(6) Changes to the notice.</w:t>
      </w:r>
    </w:p>
    <w:p w14:paraId="2BE7CC35" w14:textId="6B6FC0D9" w:rsidR="00265C33" w:rsidRDefault="00265C33" w:rsidP="00265C33">
      <w:pPr>
        <w:rPr>
          <w:rFonts w:cstheme="minorHAnsi"/>
        </w:rPr>
      </w:pPr>
      <w:r w:rsidRPr="00265C33">
        <w:rPr>
          <w:rFonts w:cstheme="minorHAnsi"/>
        </w:rPr>
        <w:t>If the information in the notice changes prior to effecting the transfer or discharge,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the facility must update the recipients of the notice as soon as practicable once the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updated information becomes available.</w:t>
      </w:r>
    </w:p>
    <w:p w14:paraId="4B832CBA" w14:textId="77777777" w:rsidR="00016D10" w:rsidRPr="00265C33" w:rsidRDefault="00016D10" w:rsidP="00265C33">
      <w:pPr>
        <w:rPr>
          <w:rFonts w:cstheme="minorHAnsi"/>
        </w:rPr>
      </w:pPr>
    </w:p>
    <w:p w14:paraId="7691D110" w14:textId="77777777" w:rsidR="00265C33" w:rsidRPr="00265C33" w:rsidRDefault="00265C33" w:rsidP="00265C33">
      <w:pPr>
        <w:rPr>
          <w:rFonts w:cstheme="minorHAnsi"/>
        </w:rPr>
      </w:pPr>
      <w:r w:rsidRPr="00016D10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§483.15(c)(8) Notice in advance of facility closure</w:t>
      </w:r>
    </w:p>
    <w:p w14:paraId="4D03AFCE" w14:textId="2F2999FC" w:rsidR="00265C33" w:rsidRPr="00265C33" w:rsidRDefault="00265C33" w:rsidP="00265C33">
      <w:pPr>
        <w:rPr>
          <w:rFonts w:cstheme="minorHAnsi"/>
        </w:rPr>
      </w:pPr>
      <w:r w:rsidRPr="00265C33">
        <w:rPr>
          <w:rFonts w:cstheme="minorHAnsi"/>
        </w:rPr>
        <w:t>In the case of facility closure, the individual who is the administrator of the facility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must provide written notification prior to the impending closure to the State Survey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Agency, the Office of the State Long-Term Care Ombudsman, residents of the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facility, and the resident representatives, as well as the plan for the transfer and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adequate relocation of the residents, as required at § 483.70(</w:t>
      </w:r>
      <w:r w:rsidR="00D91D8A">
        <w:rPr>
          <w:rFonts w:cstheme="minorHAnsi"/>
        </w:rPr>
        <w:t>k</w:t>
      </w:r>
      <w:r w:rsidRPr="00265C33">
        <w:rPr>
          <w:rFonts w:cstheme="minorHAnsi"/>
        </w:rPr>
        <w:t>).</w:t>
      </w:r>
    </w:p>
    <w:p w14:paraId="40A4FCD8" w14:textId="77777777" w:rsidR="00016D10" w:rsidRDefault="00016D10" w:rsidP="00265C33">
      <w:pPr>
        <w:rPr>
          <w:rFonts w:cstheme="minorHAnsi"/>
        </w:rPr>
      </w:pPr>
    </w:p>
    <w:p w14:paraId="217C4C0D" w14:textId="6FD45A9C" w:rsidR="00265C33" w:rsidRPr="00016D10" w:rsidRDefault="00265C33" w:rsidP="00265C33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016D10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§483.15(d) Notice of bed-hold policy and return—</w:t>
      </w:r>
    </w:p>
    <w:p w14:paraId="24CE6EFF" w14:textId="348348B5" w:rsidR="00265C33" w:rsidRPr="00265C33" w:rsidRDefault="00265C33" w:rsidP="00265C33">
      <w:pPr>
        <w:rPr>
          <w:rFonts w:cstheme="minorHAnsi"/>
        </w:rPr>
      </w:pPr>
      <w:r w:rsidRPr="00265C33">
        <w:rPr>
          <w:rFonts w:cstheme="minorHAnsi"/>
        </w:rPr>
        <w:t>§483.15(d)(1) Notice before transfer. Before a nursing facility transfers a resident to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a hospital or the resident goes on therapeutic leave, the nursing facility must provide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written information to the resident or resident representative that specifies—</w:t>
      </w:r>
    </w:p>
    <w:p w14:paraId="6B965EB2" w14:textId="428DA76C" w:rsidR="00265C33" w:rsidRPr="00265C33" w:rsidRDefault="00265C33" w:rsidP="00E84567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>) The duration of the state bed-hold policy, if any, during which the resident is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 xml:space="preserve">permitted to return and resume residence in the nursing </w:t>
      </w:r>
      <w:proofErr w:type="gramStart"/>
      <w:r w:rsidRPr="00265C33">
        <w:rPr>
          <w:rFonts w:cstheme="minorHAnsi"/>
        </w:rPr>
        <w:t>facility;</w:t>
      </w:r>
      <w:proofErr w:type="gramEnd"/>
    </w:p>
    <w:p w14:paraId="774B265C" w14:textId="3335A5E9" w:rsidR="00265C33" w:rsidRPr="00265C33" w:rsidRDefault="00265C33" w:rsidP="00E84567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(ii) The reserve bed payment policy in the state plan, under § 447.40 of this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 xml:space="preserve">chapter, if </w:t>
      </w:r>
      <w:proofErr w:type="gramStart"/>
      <w:r w:rsidRPr="00265C33">
        <w:rPr>
          <w:rFonts w:cstheme="minorHAnsi"/>
        </w:rPr>
        <w:t>any;</w:t>
      </w:r>
      <w:proofErr w:type="gramEnd"/>
    </w:p>
    <w:p w14:paraId="084444F3" w14:textId="58F93C03" w:rsidR="00265C33" w:rsidRPr="00265C33" w:rsidRDefault="00265C33" w:rsidP="00E84567">
      <w:pPr>
        <w:ind w:left="630" w:hanging="360"/>
        <w:rPr>
          <w:rFonts w:cstheme="minorHAnsi"/>
        </w:rPr>
      </w:pPr>
      <w:r w:rsidRPr="00265C33">
        <w:rPr>
          <w:rFonts w:cstheme="minorHAnsi"/>
        </w:rPr>
        <w:t>(iii) The nursing facility’s policies regarding bed-hold periods, which must be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consistent with paragraph (e)(1) of this section, permitting a resident to</w:t>
      </w:r>
      <w:r w:rsidR="00016D10">
        <w:rPr>
          <w:rFonts w:cstheme="minorHAnsi"/>
        </w:rPr>
        <w:t xml:space="preserve"> </w:t>
      </w:r>
      <w:r w:rsidRPr="00265C33">
        <w:rPr>
          <w:rFonts w:cstheme="minorHAnsi"/>
        </w:rPr>
        <w:t>return; and</w:t>
      </w:r>
    </w:p>
    <w:p w14:paraId="3E15C6BD" w14:textId="77777777" w:rsidR="00265C33" w:rsidRPr="00265C33" w:rsidRDefault="00265C33" w:rsidP="00E84567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(iv) The information specified in paragraph (e)(1) of this section.</w:t>
      </w:r>
    </w:p>
    <w:p w14:paraId="08E04A04" w14:textId="77777777" w:rsidR="00E84567" w:rsidRDefault="00E84567" w:rsidP="00265C33">
      <w:pPr>
        <w:rPr>
          <w:rFonts w:cstheme="minorHAnsi"/>
        </w:rPr>
      </w:pPr>
    </w:p>
    <w:p w14:paraId="79CD8905" w14:textId="624877B2" w:rsidR="00265C33" w:rsidRPr="00265C33" w:rsidRDefault="00265C33" w:rsidP="00265C33">
      <w:pPr>
        <w:rPr>
          <w:rFonts w:cstheme="minorHAnsi"/>
        </w:rPr>
      </w:pPr>
      <w:r w:rsidRPr="00265C33">
        <w:rPr>
          <w:rFonts w:cstheme="minorHAnsi"/>
        </w:rPr>
        <w:lastRenderedPageBreak/>
        <w:t>§483.15(d)(2) Bed-hold notice upon transfer. At the time of transfer of a resident for</w:t>
      </w:r>
      <w:r w:rsidR="00E84567">
        <w:rPr>
          <w:rFonts w:cstheme="minorHAnsi"/>
        </w:rPr>
        <w:t xml:space="preserve"> </w:t>
      </w:r>
      <w:r w:rsidRPr="00265C33">
        <w:rPr>
          <w:rFonts w:cstheme="minorHAnsi"/>
        </w:rPr>
        <w:t>hospitalization or therapeutic leave, a nursing facility must provide to the resident</w:t>
      </w:r>
      <w:r w:rsidR="00E84567">
        <w:rPr>
          <w:rFonts w:cstheme="minorHAnsi"/>
        </w:rPr>
        <w:t xml:space="preserve"> </w:t>
      </w:r>
      <w:r w:rsidRPr="00265C33">
        <w:rPr>
          <w:rFonts w:cstheme="minorHAnsi"/>
        </w:rPr>
        <w:t>and the resident representative written notice which specifies the duration of the</w:t>
      </w:r>
      <w:r w:rsidR="00E84567">
        <w:rPr>
          <w:rFonts w:cstheme="minorHAnsi"/>
        </w:rPr>
        <w:t xml:space="preserve"> </w:t>
      </w:r>
      <w:r w:rsidRPr="00265C33">
        <w:rPr>
          <w:rFonts w:cstheme="minorHAnsi"/>
        </w:rPr>
        <w:t>bed-hold policy described in paragraph (d)(1) of this section.</w:t>
      </w:r>
    </w:p>
    <w:p w14:paraId="2BC180E1" w14:textId="77777777" w:rsidR="00E84567" w:rsidRDefault="00E84567" w:rsidP="00265C33">
      <w:pPr>
        <w:rPr>
          <w:rFonts w:cstheme="minorHAnsi"/>
        </w:rPr>
      </w:pPr>
    </w:p>
    <w:p w14:paraId="5D0E756F" w14:textId="1F842664" w:rsidR="00265C33" w:rsidRPr="00E84567" w:rsidRDefault="00265C33" w:rsidP="00265C33">
      <w:pPr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</w:pPr>
      <w:r w:rsidRPr="00E84567">
        <w:rPr>
          <w:rFonts w:asciiTheme="majorHAnsi" w:eastAsiaTheme="majorEastAsia" w:hAnsiTheme="majorHAnsi" w:cstheme="minorHAnsi"/>
          <w:b/>
          <w:i/>
          <w:color w:val="008C95"/>
          <w:sz w:val="24"/>
          <w:szCs w:val="26"/>
        </w:rPr>
        <w:t>§483.21(c)(2) Discharge Summary</w:t>
      </w:r>
    </w:p>
    <w:p w14:paraId="0EBBFD77" w14:textId="77777777" w:rsidR="00265C33" w:rsidRPr="00265C33" w:rsidRDefault="00265C33" w:rsidP="00265C33">
      <w:pPr>
        <w:rPr>
          <w:rFonts w:cstheme="minorHAnsi"/>
        </w:rPr>
      </w:pPr>
      <w:r w:rsidRPr="00265C33">
        <w:rPr>
          <w:rFonts w:cstheme="minorHAnsi"/>
        </w:rPr>
        <w:t>When the facility anticipates discharge, a resident must have a discharge summary</w:t>
      </w:r>
    </w:p>
    <w:p w14:paraId="5CF78569" w14:textId="77777777" w:rsidR="00265C33" w:rsidRPr="00265C33" w:rsidRDefault="00265C33" w:rsidP="00265C33">
      <w:pPr>
        <w:rPr>
          <w:rFonts w:cstheme="minorHAnsi"/>
        </w:rPr>
      </w:pPr>
      <w:r w:rsidRPr="00265C33">
        <w:rPr>
          <w:rFonts w:cstheme="minorHAnsi"/>
        </w:rPr>
        <w:t>that includes, but is not limited to, the following:</w:t>
      </w:r>
    </w:p>
    <w:p w14:paraId="0F6D4177" w14:textId="34F3AF95" w:rsidR="00265C33" w:rsidRPr="00265C33" w:rsidRDefault="00265C33" w:rsidP="00E84567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</w:t>
      </w:r>
      <w:proofErr w:type="spellStart"/>
      <w:r w:rsidRPr="00265C33">
        <w:rPr>
          <w:rFonts w:cstheme="minorHAnsi"/>
        </w:rPr>
        <w:t>i</w:t>
      </w:r>
      <w:proofErr w:type="spellEnd"/>
      <w:r w:rsidRPr="00265C33">
        <w:rPr>
          <w:rFonts w:cstheme="minorHAnsi"/>
        </w:rPr>
        <w:t>) A recapitulation of the resident's stay that includes, but is not limited to,</w:t>
      </w:r>
      <w:r w:rsidR="00E84567">
        <w:rPr>
          <w:rFonts w:cstheme="minorHAnsi"/>
        </w:rPr>
        <w:t xml:space="preserve"> </w:t>
      </w:r>
      <w:r w:rsidRPr="00265C33">
        <w:rPr>
          <w:rFonts w:cstheme="minorHAnsi"/>
        </w:rPr>
        <w:t>diagnoses, course of illness/treatment or therapy, and pertinent lab,</w:t>
      </w:r>
      <w:r w:rsidR="00E84567">
        <w:rPr>
          <w:rFonts w:cstheme="minorHAnsi"/>
        </w:rPr>
        <w:t xml:space="preserve"> </w:t>
      </w:r>
      <w:r w:rsidRPr="00265C33">
        <w:rPr>
          <w:rFonts w:cstheme="minorHAnsi"/>
        </w:rPr>
        <w:t>radiology, and consultation results.</w:t>
      </w:r>
    </w:p>
    <w:p w14:paraId="33FF607F" w14:textId="1F23FB33" w:rsidR="00265C33" w:rsidRPr="00265C33" w:rsidRDefault="00265C33" w:rsidP="00E84567">
      <w:pPr>
        <w:ind w:left="540" w:hanging="270"/>
        <w:rPr>
          <w:rFonts w:cstheme="minorHAnsi"/>
        </w:rPr>
      </w:pPr>
      <w:r w:rsidRPr="00265C33">
        <w:rPr>
          <w:rFonts w:cstheme="minorHAnsi"/>
        </w:rPr>
        <w:t>(ii) A final summary of the resident's status to include items in paragraph (b)(1)</w:t>
      </w:r>
      <w:r w:rsidR="00E84567">
        <w:rPr>
          <w:rFonts w:cstheme="minorHAnsi"/>
        </w:rPr>
        <w:t xml:space="preserve"> </w:t>
      </w:r>
      <w:r w:rsidRPr="00265C33">
        <w:rPr>
          <w:rFonts w:cstheme="minorHAnsi"/>
        </w:rPr>
        <w:t>of §483.20, at the time of the discharge that is available for release to</w:t>
      </w:r>
      <w:r w:rsidR="00E84567">
        <w:rPr>
          <w:rFonts w:cstheme="minorHAnsi"/>
        </w:rPr>
        <w:t xml:space="preserve"> </w:t>
      </w:r>
      <w:r w:rsidRPr="00265C33">
        <w:rPr>
          <w:rFonts w:cstheme="minorHAnsi"/>
        </w:rPr>
        <w:t>authorized persons and agencies, with the consent of the resident or</w:t>
      </w:r>
      <w:r w:rsidR="00E84567">
        <w:rPr>
          <w:rFonts w:cstheme="minorHAnsi"/>
        </w:rPr>
        <w:t xml:space="preserve"> </w:t>
      </w:r>
      <w:r w:rsidRPr="00265C33">
        <w:rPr>
          <w:rFonts w:cstheme="minorHAnsi"/>
        </w:rPr>
        <w:t>resident’s representative.</w:t>
      </w:r>
    </w:p>
    <w:p w14:paraId="7C717868" w14:textId="27F3ECC1" w:rsidR="00407C3F" w:rsidRPr="00265C33" w:rsidRDefault="00265C33" w:rsidP="00E84567">
      <w:pPr>
        <w:ind w:left="450" w:hanging="270"/>
        <w:rPr>
          <w:rFonts w:cstheme="minorHAnsi"/>
        </w:rPr>
      </w:pPr>
      <w:r w:rsidRPr="00265C33">
        <w:rPr>
          <w:rFonts w:cstheme="minorHAnsi"/>
        </w:rPr>
        <w:t xml:space="preserve">(iii) Reconciliation of all pre-discharge medications with the </w:t>
      </w:r>
      <w:proofErr w:type="spellStart"/>
      <w:r w:rsidRPr="00265C33">
        <w:rPr>
          <w:rFonts w:cstheme="minorHAnsi"/>
        </w:rPr>
        <w:t>resident’s</w:t>
      </w:r>
      <w:proofErr w:type="spellEnd"/>
      <w:r w:rsidRPr="00265C33">
        <w:rPr>
          <w:rFonts w:cstheme="minorHAnsi"/>
        </w:rPr>
        <w:t xml:space="preserve"> post</w:t>
      </w:r>
      <w:r w:rsidR="0085655E">
        <w:rPr>
          <w:rFonts w:cstheme="minorHAnsi"/>
        </w:rPr>
        <w:t xml:space="preserve"> </w:t>
      </w:r>
      <w:r w:rsidRPr="00265C33">
        <w:rPr>
          <w:rFonts w:cstheme="minorHAnsi"/>
        </w:rPr>
        <w:t xml:space="preserve">discharge medications (both prescribed and </w:t>
      </w:r>
      <w:proofErr w:type="gramStart"/>
      <w:r w:rsidRPr="00265C33">
        <w:rPr>
          <w:rFonts w:cstheme="minorHAnsi"/>
        </w:rPr>
        <w:t>over-the-counter</w:t>
      </w:r>
      <w:proofErr w:type="gramEnd"/>
      <w:r w:rsidRPr="00265C33">
        <w:rPr>
          <w:rFonts w:cstheme="minorHAnsi"/>
        </w:rPr>
        <w:t>).</w:t>
      </w:r>
    </w:p>
    <w:p w14:paraId="282532B5" w14:textId="77777777" w:rsidR="00407C3F" w:rsidRPr="00265C33" w:rsidRDefault="00407C3F" w:rsidP="006468C4">
      <w:pPr>
        <w:rPr>
          <w:rFonts w:cstheme="minorHAnsi"/>
        </w:rPr>
      </w:pPr>
    </w:p>
    <w:p w14:paraId="36170639" w14:textId="77777777" w:rsidR="00050705" w:rsidRPr="00265C33" w:rsidRDefault="00050705" w:rsidP="006468C4">
      <w:pPr>
        <w:rPr>
          <w:rFonts w:cstheme="minorHAnsi"/>
        </w:rPr>
      </w:pPr>
    </w:p>
    <w:p w14:paraId="2C568296" w14:textId="77777777" w:rsidR="00050705" w:rsidRDefault="00050705" w:rsidP="006468C4"/>
    <w:p w14:paraId="0DDC9215" w14:textId="77777777" w:rsidR="00821D53" w:rsidRDefault="00821D53" w:rsidP="006468C4"/>
    <w:p w14:paraId="61DCDE15" w14:textId="77777777" w:rsidR="00821D53" w:rsidRDefault="00821D53" w:rsidP="006468C4"/>
    <w:p w14:paraId="7140BD25" w14:textId="77777777" w:rsidR="00050705" w:rsidRDefault="00050705" w:rsidP="006468C4"/>
    <w:p w14:paraId="5B9613F0" w14:textId="37579A22" w:rsidR="00953372" w:rsidRDefault="00953372" w:rsidP="006468C4"/>
    <w:sectPr w:rsidR="009533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2AB6" w14:textId="77777777" w:rsidR="00EF5375" w:rsidRDefault="00EF5375" w:rsidP="00562676">
      <w:r>
        <w:separator/>
      </w:r>
    </w:p>
  </w:endnote>
  <w:endnote w:type="continuationSeparator" w:id="0">
    <w:p w14:paraId="77E31DAC" w14:textId="77777777" w:rsidR="00EF5375" w:rsidRDefault="00EF5375" w:rsidP="005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E597" w14:textId="77777777" w:rsidR="006C0D7C" w:rsidRPr="005A1A27" w:rsidRDefault="00AD72B3" w:rsidP="00AD72B3">
    <w:pPr>
      <w:jc w:val="center"/>
      <w:rPr>
        <w:b/>
        <w:color w:val="012169"/>
        <w:sz w:val="24"/>
      </w:rPr>
    </w:pPr>
    <w:r w:rsidRPr="005A1A27">
      <w:rPr>
        <w:b/>
        <w:color w:val="012169"/>
        <w:sz w:val="24"/>
      </w:rPr>
      <w:t>Missouri Department of Health and Senior Services</w:t>
    </w:r>
  </w:p>
  <w:p w14:paraId="4A3A93F1" w14:textId="77777777" w:rsidR="00AD72B3" w:rsidRDefault="00AD72B3" w:rsidP="00AD72B3">
    <w:pPr>
      <w:jc w:val="center"/>
      <w:rPr>
        <w:color w:val="012169"/>
      </w:rPr>
    </w:pPr>
    <w:r w:rsidRPr="005A1A27">
      <w:rPr>
        <w:color w:val="008C95"/>
      </w:rPr>
      <w:t>912 Wildwood Drive | Jefferson City, MO 65109</w:t>
    </w:r>
  </w:p>
  <w:p w14:paraId="444A6655" w14:textId="77777777" w:rsidR="005A1A27" w:rsidRPr="00407C3F" w:rsidRDefault="005A1A27" w:rsidP="00AD72B3">
    <w:pPr>
      <w:jc w:val="center"/>
      <w:rPr>
        <w:color w:val="012169"/>
      </w:rPr>
    </w:pPr>
    <w:r>
      <w:rPr>
        <w:noProof/>
        <w:color w:val="012169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646920" wp14:editId="6A21A752">
              <wp:simplePos x="0" y="0"/>
              <wp:positionH relativeFrom="margin">
                <wp:align>center</wp:align>
              </wp:positionH>
              <wp:positionV relativeFrom="paragraph">
                <wp:posOffset>115470</wp:posOffset>
              </wp:positionV>
              <wp:extent cx="6809552" cy="6083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552" cy="60835"/>
                        <a:chOff x="0" y="0"/>
                        <a:chExt cx="6809552" cy="131526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168529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1702052" y="0"/>
                          <a:ext cx="168529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5124262" y="4526"/>
                          <a:ext cx="168529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413157" y="4526"/>
                          <a:ext cx="168529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224426" id="Group 7" o:spid="_x0000_s1026" style="position:absolute;margin-left:0;margin-top:9.1pt;width:536.2pt;height:4.8pt;z-index:251665408;mso-position-horizontal:center;mso-position-horizontal-relative:margin;mso-height-relative:margin" coordsize="6809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JeagMAANkRAAAOAAAAZHJzL2Uyb0RvYy54bWzsWFtP2zAUfp+0/2D5feTS9EJEihAMNAkB&#10;AiaejetcpMT2bJeU/fod20mKKNpGJyZV6ovjy7n58/mOkxwdr5oaPTGlK8EzHB2EGDFOxaLiRYa/&#10;359/mWGkDeELUgvOMvzMND6ef/501MqUxaIU9YIpBEa4TluZ4dIYmQaBpiVriD4QknFYzIVqiIGh&#10;KoKFIi1Yb+ogDsNJ0Aq1kEpQpjXMnvlFPHf285xRc53nmhlUZxhiM65Vrn20bTA/ImmhiCwr2oVB&#10;toiiIRUHp4OpM2IIWqpqw1RTUSW0yM0BFU0g8ryizO0BdhOFr3ZzocRSur0UaVvIASaA9hVOW5ul&#10;V083ClWLDE8x4qSBI3Je0dRC08oiBYkLJe/kjeomCj+yu13lqrFP2AdaOVCfB1DZyiAKk5NZeDge&#10;xxhRWJuEs9HYg05LOJkNLVp+fUsvGkXjeGIVg95rYIMbYmkl5I9eQ6T/DaK7kkjmkNcWgA6iqIfo&#10;FvKK8KJmKPIwOakBI51qgOtvAYoms3F8CMlpAYriaRi6tBw2SlKptLlgokG2k2EF3l2ykadLbTwm&#10;vYh1WnPbcnFe1bVftTOAVx+X65nnmnnpW5ZDBsBRxc6q4x47rRV6IsAaQinjJvJLJVkwPz2GMPs4&#10;Bw13PDUHg9ZyDv4H250By+tN2z7KTt6qMkfdQTn8XWBeedBwngU3g3JTcaHeMlDDrjrPXr4HyUNj&#10;UXoUi2c4fCV84dCSnldwBpdEmxuioFLAsUH1M9fQ5LVoMyy6HkalUD/fmrfykJ2wilELlSfD+seS&#10;KIZR/Y1D3h5GSWJLlRsk42kMA/Vy5fHlCl82pwKOCXITonNdK2/qvpsr0TxAkTyxXmGJcAq+M0yN&#10;6genxldEKLOUnZw4MShPkphLfiepNW5RtTl2v3ogSnaJaIDjV6LnCklf5aOXtZpcnCyNyCuXrGtc&#10;O7yBt7bU/AcCQxXyNW5N4PhdBI6mYRzaYrZZ53aCxh3DP4TGDkmoWlvRuFfe03hP4xfvc31tsdVh&#10;fQ+PNmk8eheNx1GcxBNP46R7sYBLp3vz2Akmjz7wQnZgbsvkXnnP5D2T/8jkZJPJybuYPErspwF8&#10;u8CFvKNMTj6QyQ7MbZncK++ZvNtMdl/K8P/AfZ11/zrsD4qXY/cqvv4jM/8FAAD//wMAUEsDBBQA&#10;BgAIAAAAIQDQHqk93gAAAAcBAAAPAAAAZHJzL2Rvd25yZXYueG1sTI/NasMwEITvhb6D2EBvjWz3&#10;J8axHEJoewqFJIXS28ba2CbWyliK7bx9lVN73Jlh5tt8NZlWDNS7xrKCeB6BIC6tbrhS8HV4f0xB&#10;OI+ssbVMCq7kYFXc3+WYaTvyjoa9r0QoYZehgtr7LpPSlTUZdHPbEQfvZHuDPpx9JXWPYyg3rUyi&#10;6FUabDgs1NjRpqbyvL8YBR8jjuun+G3Ynk+b68/h5fN7G5NSD7NpvQThafJ/YbjhB3QoAtPRXlg7&#10;0SoIj/igpgmImxstkmcQRwXJIgVZ5PI/f/ELAAD//wMAUEsBAi0AFAAGAAgAAAAhALaDOJL+AAAA&#10;4QEAABMAAAAAAAAAAAAAAAAAAAAAAFtDb250ZW50X1R5cGVzXS54bWxQSwECLQAUAAYACAAAACEA&#10;OP0h/9YAAACUAQAACwAAAAAAAAAAAAAAAAAvAQAAX3JlbHMvLnJlbHNQSwECLQAUAAYACAAAACEA&#10;8xeSXmoDAADZEQAADgAAAAAAAAAAAAAAAAAuAgAAZHJzL2Uyb0RvYy54bWxQSwECLQAUAAYACAAA&#10;ACEA0B6pPd4AAAAHAQAADwAAAAAAAAAAAAAAAADEBQAAZHJzL2Rvd25yZXYueG1sUEsFBgAAAAAE&#10;AAQA8wAAAM8GAAAAAA==&#10;">
              <v:rect id="Rectangle 1" o:spid="_x0000_s1027" style="position:absolute;width:16852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012169 [3204]" stroked="f" strokeweight="1pt"/>
              <v:rect id="Rectangle 2" o:spid="_x0000_s1028" style="position:absolute;left:17020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5XwQAAANoAAAAPAAAAZHJzL2Rvd25yZXYueG1sRI/RisIw&#10;FETfhf2HcAXfNLWw4tam4oqCiC/qfsC1ubbV5qY02dr9+40g+DjMzBkmXfamFh21rrKsYDqJQBDn&#10;VldcKPg5b8dzEM4ja6wtk4I/crDMPgYpJto++EjdyRciQNglqKD0vkmkdHlJBt3ENsTBu9rWoA+y&#10;LaRu8RHgppZxFM2kwYrDQokNrUvK76dfo2Bj7Ofh9tWZbVxdrJzN2X/vWanRsF8tQHjq/Tv8au+0&#10;ghieV8INkNk/AAAA//8DAFBLAQItABQABgAIAAAAIQDb4fbL7gAAAIUBAAATAAAAAAAAAAAAAAAA&#10;AAAAAABbQ29udGVudF9UeXBlc10ueG1sUEsBAi0AFAAGAAgAAAAhAFr0LFu/AAAAFQEAAAsAAAAA&#10;AAAAAAAAAAAAHwEAAF9yZWxzLy5yZWxzUEsBAi0AFAAGAAgAAAAhAOzUzlfBAAAA2gAAAA8AAAAA&#10;AAAAAAAAAAAABwIAAGRycy9kb3ducmV2LnhtbFBLBQYAAAAAAwADALcAAAD1AgAAAAA=&#10;" fillcolor="#008c95 [3205]" stroked="f" strokeweight="1pt"/>
              <v:rect id="Rectangle 3" o:spid="_x0000_s1029" style="position:absolute;left:51242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n7wgAAANoAAAAPAAAAZHJzL2Rvd25yZXYueG1sRI9Ba8JA&#10;FITvhf6H5RV6qxtbFImuokKhWi/ReH9kn5to9m2aXTX+e7cgeBxm5htmMutsLS7U+sqxgn4vAUFc&#10;OF2xUZDvvj9GIHxA1lg7JgU38jCbvr5MMNXuyhldtsGICGGfooIyhCaV0hclWfQ91xBH7+BaiyHK&#10;1kjd4jXCbS0/k2QoLVYcF0psaFlScdqerYLV0GRHvTkPfvNFnum++aPVfq3U+1s3H4MI1IVn+NH+&#10;0Qq+4P9KvAFyegcAAP//AwBQSwECLQAUAAYACAAAACEA2+H2y+4AAACFAQAAEwAAAAAAAAAAAAAA&#10;AAAAAAAAW0NvbnRlbnRfVHlwZXNdLnhtbFBLAQItABQABgAIAAAAIQBa9CxbvwAAABUBAAALAAAA&#10;AAAAAAAAAAAAAB8BAABfcmVscy8ucmVsc1BLAQItABQABgAIAAAAIQDn/an7wgAAANoAAAAPAAAA&#10;AAAAAAAAAAAAAAcCAABkcnMvZG93bnJldi54bWxQSwUGAAAAAAMAAwC3AAAA9gIAAAAA&#10;" fillcolor="#e35205 [3206]" stroked="f" strokeweight="1pt"/>
              <v:rect id="Rectangle 4" o:spid="_x0000_s1030" style="position:absolute;left:34131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0T2xgAAANoAAAAPAAAAZHJzL2Rvd25yZXYueG1sRI9Ba8JA&#10;FITvhf6H5RV6KbqxDaKpqxhBMBdbE6H09sg+k9Ds25BdNf77rlDocZiZb5jFajCtuFDvGssKJuMI&#10;BHFpdcOVgmOxHc1AOI+ssbVMCm7kYLV8fFhgou2VD3TJfSUChF2CCmrvu0RKV9Zk0I1tRxy8k+0N&#10;+iD7SuoerwFuWvkaRVNpsOGwUGNHm5rKn/xsFJyzye0Uf1RvWZGm3+n886XzX3ulnp+G9TsIT4P/&#10;D/+1d1pBDPcr4QbI5S8AAAD//wMAUEsBAi0AFAAGAAgAAAAhANvh9svuAAAAhQEAABMAAAAAAAAA&#10;AAAAAAAAAAAAAFtDb250ZW50X1R5cGVzXS54bWxQSwECLQAUAAYACAAAACEAWvQsW78AAAAVAQAA&#10;CwAAAAAAAAAAAAAAAAAfAQAAX3JlbHMvLnJlbHNQSwECLQAUAAYACAAAACEAY2tE9sYAAADaAAAA&#10;DwAAAAAAAAAAAAAAAAAHAgAAZHJzL2Rvd25yZXYueG1sUEsFBgAAAAADAAMAtwAAAPoCAAAAAA==&#10;" fillcolor="#f2a900 [3207]" stroked="f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743F" w14:textId="77777777" w:rsidR="00EF5375" w:rsidRDefault="00EF5375" w:rsidP="00562676">
      <w:r>
        <w:separator/>
      </w:r>
    </w:p>
  </w:footnote>
  <w:footnote w:type="continuationSeparator" w:id="0">
    <w:p w14:paraId="2D9D43C0" w14:textId="77777777" w:rsidR="00EF5375" w:rsidRDefault="00EF5375" w:rsidP="0056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A02C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5CEBA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0463B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CC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936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F940A8"/>
    <w:multiLevelType w:val="hybridMultilevel"/>
    <w:tmpl w:val="8F120FCA"/>
    <w:lvl w:ilvl="0" w:tplc="E3B2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C95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60C82"/>
    <w:multiLevelType w:val="hybridMultilevel"/>
    <w:tmpl w:val="11C4EDAC"/>
    <w:lvl w:ilvl="0" w:tplc="0466125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8C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27A95"/>
    <w:multiLevelType w:val="hybridMultilevel"/>
    <w:tmpl w:val="F5BAA6F4"/>
    <w:lvl w:ilvl="0" w:tplc="1C542FE6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  <w:color w:val="008C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28750">
    <w:abstractNumId w:val="5"/>
  </w:num>
  <w:num w:numId="2" w16cid:durableId="1715422421">
    <w:abstractNumId w:val="6"/>
  </w:num>
  <w:num w:numId="3" w16cid:durableId="2143452049">
    <w:abstractNumId w:val="4"/>
  </w:num>
  <w:num w:numId="4" w16cid:durableId="2032680805">
    <w:abstractNumId w:val="3"/>
  </w:num>
  <w:num w:numId="5" w16cid:durableId="48770185">
    <w:abstractNumId w:val="2"/>
  </w:num>
  <w:num w:numId="6" w16cid:durableId="523905695">
    <w:abstractNumId w:val="1"/>
  </w:num>
  <w:num w:numId="7" w16cid:durableId="1897161919">
    <w:abstractNumId w:val="0"/>
  </w:num>
  <w:num w:numId="8" w16cid:durableId="911543753">
    <w:abstractNumId w:val="6"/>
    <w:lvlOverride w:ilvl="0">
      <w:startOverride w:val="1"/>
    </w:lvlOverride>
  </w:num>
  <w:num w:numId="9" w16cid:durableId="1896695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04"/>
    <w:rsid w:val="00016D10"/>
    <w:rsid w:val="00040A51"/>
    <w:rsid w:val="00050705"/>
    <w:rsid w:val="001021EF"/>
    <w:rsid w:val="00177D01"/>
    <w:rsid w:val="0021131F"/>
    <w:rsid w:val="0021707C"/>
    <w:rsid w:val="00265C33"/>
    <w:rsid w:val="00284504"/>
    <w:rsid w:val="002E510E"/>
    <w:rsid w:val="0038427F"/>
    <w:rsid w:val="003C1A02"/>
    <w:rsid w:val="003C3A13"/>
    <w:rsid w:val="00407C3F"/>
    <w:rsid w:val="004321EA"/>
    <w:rsid w:val="00451652"/>
    <w:rsid w:val="00530720"/>
    <w:rsid w:val="005513E3"/>
    <w:rsid w:val="00562676"/>
    <w:rsid w:val="005A1A27"/>
    <w:rsid w:val="00612CFB"/>
    <w:rsid w:val="00642B8D"/>
    <w:rsid w:val="006468C4"/>
    <w:rsid w:val="006C0D7C"/>
    <w:rsid w:val="007B3386"/>
    <w:rsid w:val="007B53B2"/>
    <w:rsid w:val="008157FC"/>
    <w:rsid w:val="00821D53"/>
    <w:rsid w:val="008429B4"/>
    <w:rsid w:val="0085655E"/>
    <w:rsid w:val="00874B87"/>
    <w:rsid w:val="00880A96"/>
    <w:rsid w:val="0088472B"/>
    <w:rsid w:val="008F51F6"/>
    <w:rsid w:val="00951A77"/>
    <w:rsid w:val="00953372"/>
    <w:rsid w:val="009C73E6"/>
    <w:rsid w:val="00A03948"/>
    <w:rsid w:val="00A13E26"/>
    <w:rsid w:val="00A4156B"/>
    <w:rsid w:val="00A45ADD"/>
    <w:rsid w:val="00AD5B54"/>
    <w:rsid w:val="00AD72B3"/>
    <w:rsid w:val="00B2417A"/>
    <w:rsid w:val="00B77FD0"/>
    <w:rsid w:val="00BF6CDC"/>
    <w:rsid w:val="00BF6E82"/>
    <w:rsid w:val="00C16188"/>
    <w:rsid w:val="00C41FD0"/>
    <w:rsid w:val="00C64742"/>
    <w:rsid w:val="00C770C1"/>
    <w:rsid w:val="00D64435"/>
    <w:rsid w:val="00D9005C"/>
    <w:rsid w:val="00D91D8A"/>
    <w:rsid w:val="00E25A6C"/>
    <w:rsid w:val="00E82FDB"/>
    <w:rsid w:val="00E84567"/>
    <w:rsid w:val="00EB4500"/>
    <w:rsid w:val="00ED2851"/>
    <w:rsid w:val="00EF5375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B5DF77"/>
  <w15:chartTrackingRefBased/>
  <w15:docId w15:val="{8CB3B938-37D2-4B62-A73B-241BBE5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 w:unhideWhenUsed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3F"/>
    <w:rPr>
      <w:color w:val="3D3D3D" w:themeColor="text2"/>
      <w:sz w:val="20"/>
    </w:rPr>
  </w:style>
  <w:style w:type="paragraph" w:styleId="Heading1">
    <w:name w:val="heading 1"/>
    <w:next w:val="Normal"/>
    <w:link w:val="Heading1Char"/>
    <w:uiPriority w:val="3"/>
    <w:qFormat/>
    <w:rsid w:val="00407C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12169"/>
      <w:sz w:val="28"/>
      <w:szCs w:val="32"/>
    </w:rPr>
  </w:style>
  <w:style w:type="paragraph" w:styleId="Heading2">
    <w:name w:val="heading 2"/>
    <w:next w:val="Normal"/>
    <w:link w:val="Heading2Char"/>
    <w:uiPriority w:val="4"/>
    <w:qFormat/>
    <w:rsid w:val="00407C3F"/>
    <w:pPr>
      <w:keepNext/>
      <w:keepLines/>
      <w:outlineLvl w:val="1"/>
    </w:pPr>
    <w:rPr>
      <w:rFonts w:ascii="Arial" w:eastAsiaTheme="majorEastAsia" w:hAnsi="Arial" w:cstheme="majorBidi"/>
      <w:b/>
      <w:i/>
      <w:color w:val="008C9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407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background2" w:themeFillShade="E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C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C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C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C95" w:themeFill="accent2"/>
      </w:tcPr>
    </w:tblStylePr>
    <w:tblStylePr w:type="band1Vert">
      <w:tblPr/>
      <w:tcPr>
        <w:shd w:val="clear" w:color="auto" w:fill="6EF5FF" w:themeFill="accent2" w:themeFillTint="66"/>
      </w:tcPr>
    </w:tblStylePr>
    <w:tblStylePr w:type="band1Horz">
      <w:tblPr/>
      <w:tcPr>
        <w:shd w:val="clear" w:color="auto" w:fill="6EF5FF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407C3F"/>
    <w:rPr>
      <w:rFonts w:asciiTheme="majorHAnsi" w:eastAsiaTheme="majorEastAsia" w:hAnsiTheme="majorHAnsi" w:cstheme="majorBidi"/>
      <w:b/>
      <w:color w:val="012169"/>
      <w:sz w:val="28"/>
      <w:szCs w:val="32"/>
    </w:rPr>
  </w:style>
  <w:style w:type="paragraph" w:styleId="NoSpacing">
    <w:name w:val="No Spacing"/>
    <w:uiPriority w:val="1"/>
    <w:semiHidden/>
    <w:rsid w:val="008F51F6"/>
    <w:rPr>
      <w:rFonts w:ascii="Open Sans" w:hAnsi="Open Sans"/>
      <w:color w:val="3D3D3D" w:themeColor="text2"/>
      <w:sz w:val="20"/>
    </w:rPr>
  </w:style>
  <w:style w:type="character" w:customStyle="1" w:styleId="Heading2Char">
    <w:name w:val="Heading 2 Char"/>
    <w:basedOn w:val="DefaultParagraphFont"/>
    <w:link w:val="Heading2"/>
    <w:uiPriority w:val="4"/>
    <w:rsid w:val="00407C3F"/>
    <w:rPr>
      <w:rFonts w:ascii="Arial" w:eastAsiaTheme="majorEastAsia" w:hAnsi="Arial" w:cstheme="majorBidi"/>
      <w:b/>
      <w:i/>
      <w:color w:val="008C95"/>
      <w:sz w:val="24"/>
      <w:szCs w:val="26"/>
    </w:rPr>
  </w:style>
  <w:style w:type="paragraph" w:styleId="Title">
    <w:name w:val="Title"/>
    <w:next w:val="Normal"/>
    <w:link w:val="TitleChar"/>
    <w:uiPriority w:val="1"/>
    <w:qFormat/>
    <w:rsid w:val="00953372"/>
    <w:pPr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53372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40"/>
      <w:szCs w:val="56"/>
    </w:rPr>
  </w:style>
  <w:style w:type="paragraph" w:styleId="Subtitle">
    <w:name w:val="Subtitle"/>
    <w:next w:val="Normal"/>
    <w:link w:val="SubtitleChar"/>
    <w:uiPriority w:val="2"/>
    <w:qFormat/>
    <w:rsid w:val="00407C3F"/>
    <w:pPr>
      <w:numPr>
        <w:ilvl w:val="1"/>
      </w:numPr>
      <w:spacing w:after="160"/>
    </w:pPr>
    <w:rPr>
      <w:rFonts w:ascii="Arial" w:eastAsiaTheme="minorEastAsia" w:hAnsi="Arial"/>
      <w:b/>
      <w:i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407C3F"/>
    <w:rPr>
      <w:rFonts w:ascii="Arial" w:eastAsiaTheme="minorEastAsia" w:hAnsi="Arial"/>
      <w:b/>
      <w:i/>
      <w:color w:val="FFFFFF" w:themeColor="background1"/>
      <w:spacing w:val="15"/>
      <w:sz w:val="28"/>
    </w:rPr>
  </w:style>
  <w:style w:type="paragraph" w:styleId="IntenseQuote">
    <w:name w:val="Intense Quote"/>
    <w:next w:val="Normal"/>
    <w:link w:val="IntenseQuoteChar"/>
    <w:uiPriority w:val="5"/>
    <w:qFormat/>
    <w:rsid w:val="00407C3F"/>
    <w:pPr>
      <w:pBdr>
        <w:top w:val="single" w:sz="4" w:space="10" w:color="012169" w:themeColor="accent1"/>
        <w:bottom w:val="single" w:sz="4" w:space="10" w:color="012169" w:themeColor="accent1"/>
      </w:pBdr>
      <w:spacing w:before="360" w:after="360"/>
      <w:ind w:left="864" w:right="864"/>
      <w:jc w:val="center"/>
    </w:pPr>
    <w:rPr>
      <w:rFonts w:asciiTheme="majorHAnsi" w:hAnsiTheme="majorHAnsi"/>
      <w:b/>
      <w:iCs/>
      <w:color w:val="008C95" w:themeColor="accent2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407C3F"/>
    <w:rPr>
      <w:rFonts w:asciiTheme="majorHAnsi" w:hAnsiTheme="majorHAnsi"/>
      <w:b/>
      <w:iCs/>
      <w:color w:val="008C95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rsid w:val="008F51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1F6"/>
    <w:rPr>
      <w:rFonts w:ascii="Open Sans" w:hAnsi="Open Sans"/>
      <w:i/>
      <w:iCs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rsid w:val="008F51F6"/>
    <w:rPr>
      <w:b/>
      <w:bCs/>
      <w:smallCaps/>
      <w:color w:val="012169" w:themeColor="accent1"/>
      <w:spacing w:val="5"/>
    </w:rPr>
  </w:style>
  <w:style w:type="paragraph" w:customStyle="1" w:styleId="BulletList">
    <w:name w:val="Bullet List"/>
    <w:uiPriority w:val="6"/>
    <w:qFormat/>
    <w:rsid w:val="005A1A27"/>
    <w:pPr>
      <w:numPr>
        <w:numId w:val="9"/>
      </w:numPr>
    </w:pPr>
    <w:rPr>
      <w:rFonts w:ascii="Arial" w:hAnsi="Arial"/>
      <w:color w:val="3D3D3D" w:themeColor="text2"/>
      <w:sz w:val="20"/>
    </w:rPr>
  </w:style>
  <w:style w:type="paragraph" w:customStyle="1" w:styleId="NumberedList">
    <w:name w:val="Numbered List"/>
    <w:next w:val="Normal"/>
    <w:uiPriority w:val="7"/>
    <w:qFormat/>
    <w:rsid w:val="005A1A27"/>
    <w:pPr>
      <w:numPr>
        <w:numId w:val="2"/>
      </w:numPr>
    </w:pPr>
    <w:rPr>
      <w:rFonts w:ascii="Arial" w:hAnsi="Arial"/>
      <w:color w:val="3D3D3D" w:themeColor="text2"/>
      <w:sz w:val="20"/>
    </w:rPr>
  </w:style>
  <w:style w:type="paragraph" w:styleId="Header">
    <w:name w:val="header"/>
    <w:basedOn w:val="Normal"/>
    <w:link w:val="HeaderChar"/>
    <w:uiPriority w:val="99"/>
    <w:unhideWhenUsed/>
    <w:rsid w:val="00821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53"/>
    <w:rPr>
      <w:rFonts w:ascii="Open Sans" w:hAnsi="Open Sans"/>
      <w:color w:val="3D3D3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82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53"/>
    <w:rPr>
      <w:rFonts w:ascii="Open Sans" w:hAnsi="Open Sans"/>
      <w:color w:val="3D3D3D" w:themeColor="text2"/>
      <w:sz w:val="20"/>
    </w:rPr>
  </w:style>
  <w:style w:type="paragraph" w:styleId="Revision">
    <w:name w:val="Revision"/>
    <w:hidden/>
    <w:uiPriority w:val="99"/>
    <w:semiHidden/>
    <w:rsid w:val="00040A51"/>
    <w:rPr>
      <w:color w:val="3D3D3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A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A51"/>
    <w:rPr>
      <w:color w:val="3D3D3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A51"/>
    <w:rPr>
      <w:b/>
      <w:bCs/>
      <w:color w:val="3D3D3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HSS Colors - Wor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012169"/>
      </a:accent1>
      <a:accent2>
        <a:srgbClr val="008C95"/>
      </a:accent2>
      <a:accent3>
        <a:srgbClr val="E35205"/>
      </a:accent3>
      <a:accent4>
        <a:srgbClr val="F2A900"/>
      </a:accent4>
      <a:accent5>
        <a:srgbClr val="F2A900"/>
      </a:accent5>
      <a:accent6>
        <a:srgbClr val="F2A900"/>
      </a:accent6>
      <a:hlink>
        <a:srgbClr val="828282"/>
      </a:hlink>
      <a:folHlink>
        <a:srgbClr val="A5A5A5"/>
      </a:folHlink>
    </a:clrScheme>
    <a:fontScheme name="DHSS Arial Font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Sami Jo</dc:creator>
  <cp:keywords/>
  <dc:description/>
  <cp:lastModifiedBy>Luebbering, Lindsay</cp:lastModifiedBy>
  <cp:revision>3</cp:revision>
  <dcterms:created xsi:type="dcterms:W3CDTF">2025-04-01T15:25:00Z</dcterms:created>
  <dcterms:modified xsi:type="dcterms:W3CDTF">2025-05-16T19:55:00Z</dcterms:modified>
</cp:coreProperties>
</file>